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300"/>
      </w:pPr>
      <w:r>
        <w:rPr>
          <w:rFonts w:ascii="Inter" w:hAnsi="Inter" w:eastAsia="Inter" w:cs="Inter"/>
          <w:b/>
          <w:color w:val="152943"/>
          <w:sz w:val="74"/>
        </w:rPr>
        <w:t>WF.</w:t>
      </w:r>
    </w:p>
    <w:p>
      <w:r>
        <w:rPr>
          <w:rFonts w:ascii="Inter" w:hAnsi="Inter" w:eastAsia="Inter" w:cs="Inter"/>
          <w:b/>
          <w:color w:val="2666B1"/>
          <w:sz w:val="18"/>
        </w:rPr>
        <w:t>WALLACE FERREIRA  /  SOFTWARE ENGINEER</w:t>
      </w:r>
    </w:p>
    <w:p>
      <w:pPr>
        <w:pBdr>
          <w:bottom w:val="single" w:sz="18" w:color="2666B1"/>
        </w:pBdr>
      </w:pPr>
    </w:p>
    <w:p>
      <w:pPr>
        <w:spacing w:before="880"/>
      </w:pPr>
      <w:r>
        <w:rPr>
          <w:rFonts w:ascii="Inter" w:hAnsi="Inter" w:eastAsia="Inter" w:cs="Inter"/>
          <w:b/>
          <w:color w:val="152943"/>
          <w:sz w:val="68"/>
        </w:rPr>
        <w:t>PROPOSTA</w:t>
        <w:br/>
        <w:t>COMERCIAL</w:t>
      </w:r>
    </w:p>
    <w:p>
      <w:r>
        <w:rPr>
          <w:rFonts w:ascii="Inter" w:hAnsi="Inter" w:eastAsia="Inter" w:cs="Inter"/>
          <w:b/>
          <w:color w:val="2666B1"/>
        </w:rPr>
        <w:t>DESENVOLVIMENTO DE PRODUTO DIGITAL  •  MVP</w:t>
      </w:r>
    </w:p>
    <w:p>
      <w:r>
        <w:t>Aplicativo de acompanhamento e painel administrativo para um serviço de assinatura.</w:t>
      </w:r>
    </w:p>
    <w:p>
      <w:r>
        <w:br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vAlign w:val="center"/>
            <w:shd w:fill="152943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b/>
                <w:color w:val="FFFFFF"/>
                <w:sz w:val="16"/>
              </w:rPr>
              <w:t>PREPARADO PARA</w:t>
            </w:r>
          </w:p>
        </w:tc>
        <w:tc>
          <w:tcPr>
            <w:tcW w:type="dxa" w:w="4680"/>
            <w:vAlign w:val="center"/>
            <w:shd w:fill="152943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b/>
                <w:color w:val="FFFFFF"/>
                <w:sz w:val="16"/>
              </w:rPr>
              <w:t>PREPARADO POR</w:t>
            </w:r>
          </w:p>
        </w:tc>
      </w:tr>
      <w:tr>
        <w:tc>
          <w:tcPr>
            <w:tcW w:type="dxa" w:w="4680"/>
            <w:vAlign w:val="center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BrightPath Wellness Ltd. (empresa fictícia)</w:t>
            </w:r>
          </w:p>
        </w:tc>
        <w:tc>
          <w:tcPr>
            <w:tcW w:type="dxa" w:w="4680"/>
            <w:vAlign w:val="center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Wallace Ferreira</w:t>
            </w:r>
          </w:p>
        </w:tc>
      </w:tr>
      <w:tr>
        <w:tc>
          <w:tcPr>
            <w:tcW w:type="dxa" w:w="4680"/>
            <w:vAlign w:val="center"/>
            <w:shd w:fill="F1F5F9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REFERÊNCIA</w:t>
            </w:r>
          </w:p>
        </w:tc>
        <w:tc>
          <w:tcPr>
            <w:tcW w:type="dxa" w:w="4680"/>
            <w:vAlign w:val="center"/>
            <w:shd w:fill="F1F5F9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DATA / VALIDADE</w:t>
            </w:r>
          </w:p>
        </w:tc>
      </w:tr>
      <w:tr>
        <w:tc>
          <w:tcPr>
            <w:tcW w:type="dxa" w:w="4680"/>
            <w:vAlign w:val="center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WF-EX-2026-001</w:t>
            </w:r>
          </w:p>
        </w:tc>
        <w:tc>
          <w:tcPr>
            <w:tcW w:type="dxa" w:w="4680"/>
            <w:vAlign w:val="center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Novembro de 2026  /  15 dias</w:t>
            </w:r>
          </w:p>
        </w:tc>
      </w:tr>
    </w:tbl>
    <w:p>
      <w:pPr>
        <w:spacing w:after="0"/>
      </w:pPr>
    </w:p>
    <w:p>
      <w:pPr>
        <w:spacing w:before="560"/>
      </w:pPr>
      <w:r>
        <w:rPr>
          <w:rFonts w:ascii="Inter" w:hAnsi="Inter" w:eastAsia="Inter" w:cs="Inter"/>
          <w:b/>
          <w:color w:val="657386"/>
          <w:sz w:val="16"/>
        </w:rPr>
        <w:t>EXEMPLO FICTÍCIO  •  TODOS OS VALORES E PRAZOS SÃO ILUSTRATIVOS</w:t>
      </w:r>
    </w:p>
    <w:p>
      <w:r>
        <w:t>Material educativo para acompanhar o artigo sobre o primeiro freelance. Não representa oferta comercial vigente nem substitui avaliação jurídica.</w:t>
      </w:r>
    </w:p>
    <w:p>
      <w:r>
        <w:br w:type="page"/>
      </w:r>
    </w:p>
    <w:p>
      <w:r>
        <w:rPr>
          <w:rFonts w:ascii="Inter" w:hAnsi="Inter" w:eastAsia="Inter" w:cs="Inter"/>
          <w:b/>
          <w:color w:val="2666B1"/>
          <w:sz w:val="16"/>
        </w:rPr>
        <w:t>01 / CONTEXTO E ESCOPO</w:t>
      </w:r>
    </w:p>
    <w:p>
      <w:pPr>
        <w:pStyle w:val="Heading1"/>
      </w:pPr>
      <w:r>
        <w:t>Visão geral da contratação</w:t>
      </w:r>
    </w:p>
    <w:p>
      <w:pPr>
        <w:pBdr>
          <w:bottom w:val="single" w:sz="10" w:color="EAF0F7"/>
        </w:pBdr>
      </w:pPr>
    </w:p>
    <w:p>
      <w:pPr>
        <w:pStyle w:val="Heading2"/>
      </w:pPr>
      <w:r>
        <w:t>1. Objetivo do MVP</w:t>
      </w:r>
    </w:p>
    <w:p>
      <w:r>
        <w:t>Desenvolver uma primeira versão funcional de uma plataforma digital destinada a validar um serviço de acompanhamento por assinatura. O MVP prioriza os fluxos essenciais, a operação por um único administrador e a possibilidade de evoluções futuras mediante novas contratações.</w:t>
      </w:r>
    </w:p>
    <w:p>
      <w:pPr>
        <w:pStyle w:val="Heading2"/>
      </w:pPr>
      <w:r>
        <w:t>2. Entregáveis incluídos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6840"/>
      </w:tblGrid>
      <w:tr>
        <w:tc>
          <w:tcPr>
            <w:tcW w:type="dxa" w:w="2520"/>
            <w:vAlign w:val="center"/>
            <w:shd w:fill="152943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b/>
                <w:color w:val="FFFFFF"/>
                <w:sz w:val="16"/>
              </w:rPr>
              <w:t>MÓDULO</w:t>
            </w:r>
          </w:p>
        </w:tc>
        <w:tc>
          <w:tcPr>
            <w:tcW w:type="dxa" w:w="6840"/>
            <w:vAlign w:val="center"/>
            <w:shd w:fill="152943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b/>
                <w:color w:val="FFFFFF"/>
                <w:sz w:val="16"/>
              </w:rPr>
              <w:t>FUNCIONALIDADES CONTRATADAS</w:t>
            </w:r>
          </w:p>
        </w:tc>
      </w:tr>
      <w:tr>
        <w:tc>
          <w:tcPr>
            <w:tcW w:type="dxa" w:w="2520"/>
            <w:vAlign w:val="center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Aplicativo do usuário</w:t>
            </w:r>
          </w:p>
        </w:tc>
        <w:tc>
          <w:tcPr>
            <w:tcW w:type="dxa" w:w="6840"/>
            <w:vAlign w:val="center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Login por e-mail; recuperação de senha; consulta de programas e sessões; exibição de conteúdos em vídeo incorporado; visualização do status do acesso.</w:t>
            </w:r>
          </w:p>
        </w:tc>
      </w:tr>
      <w:tr>
        <w:tc>
          <w:tcPr>
            <w:tcW w:type="dxa" w:w="2520"/>
            <w:vAlign w:val="center"/>
            <w:shd w:fill="F1F5F9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Painel administrativo web</w:t>
            </w:r>
          </w:p>
        </w:tc>
        <w:tc>
          <w:tcPr>
            <w:tcW w:type="dxa" w:w="6840"/>
            <w:vAlign w:val="center"/>
            <w:shd w:fill="F1F5F9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Autenticação do administrador; gestão de usuários; criação e edição de programas; vinculação de programas; consulta básica de assinaturas.</w:t>
            </w:r>
          </w:p>
        </w:tc>
      </w:tr>
      <w:tr>
        <w:tc>
          <w:tcPr>
            <w:tcW w:type="dxa" w:w="2520"/>
            <w:vAlign w:val="center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Assinatura e acesso</w:t>
            </w:r>
          </w:p>
        </w:tc>
        <w:tc>
          <w:tcPr>
            <w:tcW w:type="dxa" w:w="6840"/>
            <w:vAlign w:val="center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Integração com 1 provedor de pagamento; leitura do status da assinatura; bloqueio e liberação do acesso conforme regras acordadas.</w:t>
            </w:r>
          </w:p>
        </w:tc>
      </w:tr>
      <w:tr>
        <w:tc>
          <w:tcPr>
            <w:tcW w:type="dxa" w:w="2520"/>
            <w:vAlign w:val="center"/>
            <w:shd w:fill="F1F5F9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Backend e dados</w:t>
            </w:r>
          </w:p>
        </w:tc>
        <w:tc>
          <w:tcPr>
            <w:tcW w:type="dxa" w:w="6840"/>
            <w:vAlign w:val="center"/>
            <w:shd w:fill="F1F5F9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API, persistência, autenticação e regras essenciais para suportar as funcionalidades descritas.</w:t>
            </w:r>
          </w:p>
        </w:tc>
      </w:tr>
      <w:tr>
        <w:tc>
          <w:tcPr>
            <w:tcW w:type="dxa" w:w="2520"/>
            <w:vAlign w:val="center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Entrega técnica</w:t>
            </w:r>
          </w:p>
        </w:tc>
        <w:tc>
          <w:tcPr>
            <w:tcW w:type="dxa" w:w="6840"/>
            <w:vAlign w:val="center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Código-fonte e instruções básicas de configuração, implantação e operação do MVP.</w:t>
            </w:r>
          </w:p>
        </w:tc>
      </w:tr>
    </w:tbl>
    <w:p>
      <w:pPr>
        <w:spacing w:after="0"/>
      </w:pPr>
    </w:p>
    <w:p>
      <w:pPr>
        <w:pStyle w:val="Heading2"/>
      </w:pPr>
      <w:r>
        <w:t>3. Limites de operação</w:t>
      </w:r>
    </w:p>
    <w:p>
      <w:pPr>
        <w:pStyle w:val="ListBullet"/>
        <w:spacing w:after="60"/>
      </w:pPr>
      <w:r>
        <w:t>Uma única organização contratante e um único perfil administrador no MVP.</w:t>
      </w:r>
    </w:p>
    <w:p>
      <w:pPr>
        <w:pStyle w:val="ListBullet"/>
        <w:spacing w:after="60"/>
      </w:pPr>
      <w:r>
        <w:t>Um único provedor de pagamentos e apenas os fluxos expressamente descritos.</w:t>
      </w:r>
    </w:p>
    <w:p>
      <w:pPr>
        <w:pStyle w:val="ListBullet"/>
        <w:spacing w:after="60"/>
      </w:pPr>
      <w:r>
        <w:t>Interface profissional com componentes reutilizáveis; identidade visual exclusiva não incluída.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519"/>
      </w:tblGrid>
      <w:tr>
        <w:tc>
          <w:tcPr>
            <w:tcW w:type="dxa" w:w="9519"/>
            <w:shd w:fill="EAF0F7"/>
          </w:tcPr>
          <w:p>
            <w:pPr>
              <w:spacing w:before="100" w:after="100"/>
            </w:pPr>
            <w:r>
              <w:rPr>
                <w:rFonts w:ascii="Inter" w:hAnsi="Inter" w:eastAsia="Inter" w:cs="Inter"/>
                <w:b/>
                <w:color w:val="2666B1"/>
                <w:sz w:val="16"/>
              </w:rPr>
              <w:t xml:space="preserve">NOTA EDUCATIVA  </w:t>
            </w:r>
            <w:r>
              <w:rPr>
                <w:rFonts w:ascii="Inter" w:hAnsi="Inter" w:eastAsia="Inter" w:cs="Inter"/>
                <w:sz w:val="16"/>
              </w:rPr>
              <w:t>Definir o que será entregue, mas também seus limites, evita que a expressão “um aplicativo completo” tenha interpretações incompatíveis.</w:t>
            </w:r>
          </w:p>
        </w:tc>
      </w:tr>
    </w:tbl>
    <w:p>
      <w:pPr>
        <w:spacing w:after="0"/>
      </w:pPr>
    </w:p>
    <w:p>
      <w:r>
        <w:br w:type="page"/>
      </w:r>
    </w:p>
    <w:p>
      <w:r>
        <w:rPr>
          <w:rFonts w:ascii="Inter" w:hAnsi="Inter" w:eastAsia="Inter" w:cs="Inter"/>
          <w:b/>
          <w:color w:val="2666B1"/>
          <w:sz w:val="16"/>
        </w:rPr>
        <w:t>02 / EXPECTATIVAS E DEPENDÊNCIAS</w:t>
      </w:r>
    </w:p>
    <w:p>
      <w:pPr>
        <w:pStyle w:val="Heading1"/>
      </w:pPr>
      <w:r>
        <w:t>Exclusões e responsabilidades</w:t>
      </w:r>
    </w:p>
    <w:p>
      <w:pPr>
        <w:pBdr>
          <w:bottom w:val="single" w:sz="10" w:color="EAF0F7"/>
        </w:pBdr>
      </w:pPr>
    </w:p>
    <w:p>
      <w:pPr>
        <w:pStyle w:val="Heading2"/>
      </w:pPr>
      <w:r>
        <w:t>4. Itens não incluídos no preço-base</w:t>
      </w:r>
    </w:p>
    <w:p>
      <w:pPr>
        <w:pStyle w:val="ListBullet"/>
        <w:spacing w:after="60"/>
      </w:pPr>
      <w:r>
        <w:t>Notificações push, área de comunidade, marketplace ou recursos de inteligência artificial.</w:t>
      </w:r>
    </w:p>
    <w:p>
      <w:pPr>
        <w:pStyle w:val="ListBullet"/>
        <w:spacing w:after="60"/>
      </w:pPr>
      <w:r>
        <w:t>Cupons, testes gratuitos, cobrança avançada, múltiplos gateways ou múltiplos perfis administrativos.</w:t>
      </w:r>
    </w:p>
    <w:p>
      <w:pPr>
        <w:pStyle w:val="ListBullet"/>
        <w:spacing w:after="60"/>
      </w:pPr>
      <w:r>
        <w:t>Identidade visual completa, design exclusivo em Figma e produção de textos, imagens ou vídeos.</w:t>
      </w:r>
    </w:p>
    <w:p>
      <w:pPr>
        <w:pStyle w:val="ListBullet"/>
        <w:spacing w:after="60"/>
      </w:pPr>
      <w:r>
        <w:t>Publicação nas lojas de aplicativos, migração de dados existentes e integrações não relacionadas.</w:t>
      </w:r>
    </w:p>
    <w:p>
      <w:pPr>
        <w:pStyle w:val="ListBullet"/>
        <w:spacing w:after="60"/>
      </w:pPr>
      <w:r>
        <w:t>Hospedagem, tarifas de serviços de terceiros, tributos, taxas de publicação e manutenção evolutiva contínua.</w:t>
      </w:r>
    </w:p>
    <w:p>
      <w:pPr>
        <w:pStyle w:val="Heading2"/>
      </w:pPr>
      <w:r>
        <w:t>5. Responsabilidades do contratante</w:t>
      </w:r>
    </w:p>
    <w:p>
      <w:pPr>
        <w:pStyle w:val="ListBullet"/>
        <w:spacing w:after="60"/>
      </w:pPr>
      <w:r>
        <w:t>Fornecer regras de negócio, conteúdos, marca, decisões operacionais e materiais necessários, em formato utilizável.</w:t>
      </w:r>
    </w:p>
    <w:p>
      <w:pPr>
        <w:pStyle w:val="ListBullet"/>
        <w:spacing w:after="60"/>
      </w:pPr>
      <w:r>
        <w:t>Criar e manter as contas de pagamento e serviços externos sob sua titularidade; arcar com as respectivas tarifas.</w:t>
      </w:r>
    </w:p>
    <w:p>
      <w:pPr>
        <w:pStyle w:val="ListBullet"/>
        <w:spacing w:after="60"/>
      </w:pPr>
      <w:r>
        <w:t>Indicar uma pessoa autorizada para validar requisitos, aprovar entregas e consolidar solicitações.</w:t>
      </w:r>
    </w:p>
    <w:p>
      <w:pPr>
        <w:pStyle w:val="ListBullet"/>
        <w:spacing w:after="60"/>
      </w:pPr>
      <w:r>
        <w:t>Responder às solicitações de validação em até 5 dias úteis, salvo ajuste documentado.</w:t>
      </w:r>
    </w:p>
    <w:p>
      <w:pPr>
        <w:pStyle w:val="Heading2"/>
      </w:pPr>
      <w:r>
        <w:t>6. Responsabilidades do contratado</w:t>
      </w:r>
    </w:p>
    <w:p>
      <w:pPr>
        <w:pStyle w:val="ListBullet"/>
        <w:spacing w:after="60"/>
      </w:pPr>
      <w:r>
        <w:t>Implementar e testar os entregáveis expressos no escopo com diligência profissional.</w:t>
      </w:r>
    </w:p>
    <w:p>
      <w:pPr>
        <w:pStyle w:val="ListBullet"/>
        <w:spacing w:after="60"/>
      </w:pPr>
      <w:r>
        <w:t>Informar impedimentos relevantes, registrar decisões e apresentar o andamento nos marcos acordados.</w:t>
      </w:r>
    </w:p>
    <w:p>
      <w:pPr>
        <w:pStyle w:val="ListBullet"/>
        <w:spacing w:after="60"/>
      </w:pPr>
      <w:r>
        <w:t>Tratar informações do projeto com confidencialidade e aplicar controles técnicos proporcionais ao MVP.</w:t>
      </w:r>
    </w:p>
    <w:p>
      <w:pPr>
        <w:pStyle w:val="ListBullet"/>
        <w:spacing w:after="60"/>
      </w:pPr>
      <w:r>
        <w:t>Comunicar previamente impactos de mudanças e não cobrar serviços adicionais sem aprovação expressa.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519"/>
      </w:tblGrid>
      <w:tr>
        <w:tc>
          <w:tcPr>
            <w:tcW w:type="dxa" w:w="9519"/>
            <w:shd w:fill="EAF0F7"/>
          </w:tcPr>
          <w:p>
            <w:pPr>
              <w:spacing w:before="100" w:after="100"/>
            </w:pPr>
            <w:r>
              <w:rPr>
                <w:rFonts w:ascii="Inter" w:hAnsi="Inter" w:eastAsia="Inter" w:cs="Inter"/>
                <w:b/>
                <w:color w:val="2666B1"/>
                <w:sz w:val="16"/>
              </w:rPr>
              <w:t xml:space="preserve">PROTEÇÃO MÚTUA  </w:t>
            </w:r>
            <w:r>
              <w:rPr>
                <w:rFonts w:ascii="Inter" w:hAnsi="Inter" w:eastAsia="Inter" w:cs="Inter"/>
                <w:sz w:val="16"/>
              </w:rPr>
              <w:t>Atrasos decorrentes da indisponibilidade de materiais ou aprovações devem ser registrados e permitir revisão proporcional do cronograma, sem presumir culpa automática de qualquer parte.</w:t>
            </w:r>
          </w:p>
        </w:tc>
      </w:tr>
    </w:tbl>
    <w:p>
      <w:pPr>
        <w:spacing w:after="0"/>
      </w:pPr>
    </w:p>
    <w:p>
      <w:r>
        <w:br w:type="page"/>
      </w:r>
    </w:p>
    <w:p>
      <w:r>
        <w:rPr>
          <w:rFonts w:ascii="Inter" w:hAnsi="Inter" w:eastAsia="Inter" w:cs="Inter"/>
          <w:b/>
          <w:color w:val="2666B1"/>
          <w:sz w:val="16"/>
        </w:rPr>
        <w:t>03 / EXECUÇÃO E ACEITE</w:t>
      </w:r>
    </w:p>
    <w:p>
      <w:pPr>
        <w:pStyle w:val="Heading1"/>
      </w:pPr>
      <w:r>
        <w:t>Plano, marcos e validação</w:t>
      </w:r>
    </w:p>
    <w:p>
      <w:pPr>
        <w:pBdr>
          <w:bottom w:val="single" w:sz="10" w:color="EAF0F7"/>
        </w:pBdr>
      </w:pPr>
    </w:p>
    <w:p>
      <w:pPr>
        <w:pStyle w:val="Heading2"/>
      </w:pPr>
      <w:r>
        <w:t>7. Plano indicativo de execução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72"/>
        <w:gridCol w:w="5688"/>
        <w:gridCol w:w="1800"/>
      </w:tblGrid>
      <w:tr>
        <w:tc>
          <w:tcPr>
            <w:tcW w:type="dxa" w:w="1872"/>
            <w:vAlign w:val="center"/>
            <w:shd w:fill="152943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b/>
                <w:color w:val="FFFFFF"/>
                <w:sz w:val="16"/>
              </w:rPr>
              <w:t>MARCO</w:t>
            </w:r>
          </w:p>
        </w:tc>
        <w:tc>
          <w:tcPr>
            <w:tcW w:type="dxa" w:w="5688"/>
            <w:vAlign w:val="center"/>
            <w:shd w:fill="152943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b/>
                <w:color w:val="FFFFFF"/>
                <w:sz w:val="16"/>
              </w:rPr>
              <w:t>ENTREGA / CONDIÇÃO</w:t>
            </w:r>
          </w:p>
        </w:tc>
        <w:tc>
          <w:tcPr>
            <w:tcW w:type="dxa" w:w="1800"/>
            <w:vAlign w:val="center"/>
            <w:shd w:fill="152943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b/>
                <w:color w:val="FFFFFF"/>
                <w:sz w:val="16"/>
              </w:rPr>
              <w:t>PRAZO INDICATIVO</w:t>
            </w:r>
          </w:p>
        </w:tc>
      </w:tr>
      <w:tr>
        <w:tc>
          <w:tcPr>
            <w:tcW w:type="dxa" w:w="1872"/>
            <w:vAlign w:val="center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M0 · Início</w:t>
            </w:r>
          </w:p>
        </w:tc>
        <w:tc>
          <w:tcPr>
            <w:tcW w:type="dxa" w:w="5688"/>
            <w:vAlign w:val="center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Aprovação por escrito, pagamento inicial, acessos e insumos essenciais.</w:t>
            </w:r>
          </w:p>
        </w:tc>
        <w:tc>
          <w:tcPr>
            <w:tcW w:type="dxa" w:w="1800"/>
            <w:vAlign w:val="center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Semana 0</w:t>
            </w:r>
          </w:p>
        </w:tc>
      </w:tr>
      <w:tr>
        <w:tc>
          <w:tcPr>
            <w:tcW w:type="dxa" w:w="1872"/>
            <w:vAlign w:val="center"/>
            <w:shd w:fill="F1F5F9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M1 · Fundação</w:t>
            </w:r>
          </w:p>
        </w:tc>
        <w:tc>
          <w:tcPr>
            <w:tcW w:type="dxa" w:w="5688"/>
            <w:vAlign w:val="center"/>
            <w:shd w:fill="F1F5F9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Modelo de dados, autenticação e estrutura básica do painel.</w:t>
            </w:r>
          </w:p>
        </w:tc>
        <w:tc>
          <w:tcPr>
            <w:tcW w:type="dxa" w:w="1800"/>
            <w:vAlign w:val="center"/>
            <w:shd w:fill="F1F5F9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Semanas 1–3</w:t>
            </w:r>
          </w:p>
        </w:tc>
      </w:tr>
      <w:tr>
        <w:tc>
          <w:tcPr>
            <w:tcW w:type="dxa" w:w="1872"/>
            <w:vAlign w:val="center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M2 · Painel funcional</w:t>
            </w:r>
          </w:p>
        </w:tc>
        <w:tc>
          <w:tcPr>
            <w:tcW w:type="dxa" w:w="5688"/>
            <w:vAlign w:val="center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Gestão de usuários, conteúdo e programas com demonstração.</w:t>
            </w:r>
          </w:p>
        </w:tc>
        <w:tc>
          <w:tcPr>
            <w:tcW w:type="dxa" w:w="1800"/>
            <w:vAlign w:val="center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Semanas 4–6</w:t>
            </w:r>
          </w:p>
        </w:tc>
      </w:tr>
      <w:tr>
        <w:tc>
          <w:tcPr>
            <w:tcW w:type="dxa" w:w="1872"/>
            <w:vAlign w:val="center"/>
            <w:shd w:fill="F1F5F9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M3 · MVP integrado</w:t>
            </w:r>
          </w:p>
        </w:tc>
        <w:tc>
          <w:tcPr>
            <w:tcW w:type="dxa" w:w="5688"/>
            <w:vAlign w:val="center"/>
            <w:shd w:fill="F1F5F9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Aplicativo do usuário, integração de assinaturas e testes de fluxos.</w:t>
            </w:r>
          </w:p>
        </w:tc>
        <w:tc>
          <w:tcPr>
            <w:tcW w:type="dxa" w:w="1800"/>
            <w:vAlign w:val="center"/>
            <w:shd w:fill="F1F5F9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Semanas 7–10</w:t>
            </w:r>
          </w:p>
        </w:tc>
      </w:tr>
      <w:tr>
        <w:tc>
          <w:tcPr>
            <w:tcW w:type="dxa" w:w="1872"/>
            <w:vAlign w:val="center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M4 · Homologação</w:t>
            </w:r>
          </w:p>
        </w:tc>
        <w:tc>
          <w:tcPr>
            <w:tcW w:type="dxa" w:w="5688"/>
            <w:vAlign w:val="center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Correções de defeitos identificados no escopo e handoff contratado.</w:t>
            </w:r>
          </w:p>
        </w:tc>
        <w:tc>
          <w:tcPr>
            <w:tcW w:type="dxa" w:w="1800"/>
            <w:vAlign w:val="center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Semanas 11–12</w:t>
            </w:r>
          </w:p>
        </w:tc>
      </w:tr>
    </w:tbl>
    <w:p>
      <w:pPr>
        <w:spacing w:after="0"/>
      </w:pPr>
    </w:p>
    <w:p>
      <w:r>
        <w:t>Prazo estimado total: 8 a 12 semanas a partir do M0, condicionado à disponibilidade de insumos, acessos e validações. As datas serão recalculadas caso premissas relevantes mudem.</w:t>
      </w:r>
    </w:p>
    <w:p>
      <w:pPr>
        <w:pStyle w:val="Heading2"/>
      </w:pPr>
      <w:r>
        <w:t>8. Critérios de aceite</w:t>
      </w:r>
    </w:p>
    <w:p>
      <w:pPr>
        <w:pStyle w:val="ListNumber"/>
        <w:spacing w:after="60"/>
      </w:pPr>
      <w:r>
        <w:t>O contratado comunica a entrega do marco e fornece roteiro ou demonstração dos fluxos previstos.</w:t>
      </w:r>
    </w:p>
    <w:p>
      <w:pPr>
        <w:pStyle w:val="ListNumber"/>
        <w:spacing w:after="60"/>
      </w:pPr>
      <w:r>
        <w:t>O contratante dispõe de 5 dias úteis para aprovar ou apontar, por escrito, divergências objetivas frente ao escopo e aos critérios combinados.</w:t>
      </w:r>
    </w:p>
    <w:p>
      <w:pPr>
        <w:pStyle w:val="ListNumber"/>
        <w:spacing w:after="60"/>
      </w:pPr>
      <w:r>
        <w:t>Defeitos reproduzíveis que impeçam os fluxos acordados serão corrigidos e apresentados para nova validação.</w:t>
      </w:r>
    </w:p>
    <w:p>
      <w:pPr>
        <w:pStyle w:val="ListNumber"/>
        <w:spacing w:after="60"/>
      </w:pPr>
      <w:r>
        <w:t>Pedidos de funcionalidades novas, preferências não acordadas ou alterações de regra de negócio seguirão o procedimento de mudança da seção 10.</w:t>
      </w:r>
    </w:p>
    <w:p>
      <w:r>
        <w:t>A ausência de manifestação no prazo não substitui automaticamente o aceite formal; as partes registrarão a pendência e negociarão a continuidade e eventuais ajustes de prazo.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519"/>
      </w:tblGrid>
      <w:tr>
        <w:tc>
          <w:tcPr>
            <w:tcW w:type="dxa" w:w="9519"/>
            <w:shd w:fill="EAF0F7"/>
          </w:tcPr>
          <w:p>
            <w:pPr>
              <w:spacing w:before="100" w:after="100"/>
            </w:pPr>
            <w:r>
              <w:rPr>
                <w:rFonts w:ascii="Inter" w:hAnsi="Inter" w:eastAsia="Inter" w:cs="Inter"/>
                <w:b/>
                <w:color w:val="2666B1"/>
                <w:sz w:val="16"/>
              </w:rPr>
              <w:t xml:space="preserve">NOTA EDUCATIVA  </w:t>
            </w:r>
            <w:r>
              <w:rPr>
                <w:rFonts w:ascii="Inter" w:hAnsi="Inter" w:eastAsia="Inter" w:cs="Inter"/>
                <w:sz w:val="16"/>
              </w:rPr>
              <w:t>Critérios de aceite descrevem resultados verificáveis, não apenas a percepção subjetiva de que o software está “pronto”.</w:t>
            </w:r>
          </w:p>
        </w:tc>
      </w:tr>
    </w:tbl>
    <w:p>
      <w:pPr>
        <w:spacing w:after="0"/>
      </w:pPr>
    </w:p>
    <w:p>
      <w:r>
        <w:br w:type="page"/>
      </w:r>
    </w:p>
    <w:p>
      <w:r>
        <w:rPr>
          <w:rFonts w:ascii="Inter" w:hAnsi="Inter" w:eastAsia="Inter" w:cs="Inter"/>
          <w:b/>
          <w:color w:val="2666B1"/>
          <w:sz w:val="16"/>
        </w:rPr>
        <w:t>04 / VALORES E MUDANÇAS</w:t>
      </w:r>
    </w:p>
    <w:p>
      <w:pPr>
        <w:pStyle w:val="Heading1"/>
      </w:pPr>
      <w:r>
        <w:t>Investimento e gestão de mudanças</w:t>
      </w:r>
    </w:p>
    <w:p>
      <w:pPr>
        <w:pBdr>
          <w:bottom w:val="single" w:sz="10" w:color="EAF0F7"/>
        </w:pBdr>
      </w:pPr>
    </w:p>
    <w:p>
      <w:pPr>
        <w:pStyle w:val="Heading2"/>
      </w:pPr>
      <w:r>
        <w:t>9. Investimento fictício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1440"/>
        <w:gridCol w:w="2880"/>
      </w:tblGrid>
      <w:tr>
        <w:tc>
          <w:tcPr>
            <w:tcW w:type="dxa" w:w="5040"/>
            <w:vAlign w:val="center"/>
            <w:shd w:fill="152943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b/>
                <w:color w:val="FFFFFF"/>
                <w:sz w:val="16"/>
              </w:rPr>
              <w:t>ETAPA</w:t>
            </w:r>
          </w:p>
        </w:tc>
        <w:tc>
          <w:tcPr>
            <w:tcW w:type="dxa" w:w="1440"/>
            <w:vAlign w:val="center"/>
            <w:shd w:fill="152943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b/>
                <w:color w:val="FFFFFF"/>
                <w:sz w:val="16"/>
              </w:rPr>
              <w:t>PARCELA</w:t>
            </w:r>
          </w:p>
        </w:tc>
        <w:tc>
          <w:tcPr>
            <w:tcW w:type="dxa" w:w="2880"/>
            <w:vAlign w:val="center"/>
            <w:shd w:fill="152943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b/>
                <w:color w:val="FFFFFF"/>
                <w:sz w:val="16"/>
              </w:rPr>
              <w:t>VALOR ILUSTRATIVO</w:t>
            </w:r>
          </w:p>
        </w:tc>
      </w:tr>
      <w:tr>
        <w:tc>
          <w:tcPr>
            <w:tcW w:type="dxa" w:w="5040"/>
            <w:vAlign w:val="center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M0 · Reserva e início</w:t>
            </w:r>
          </w:p>
        </w:tc>
        <w:tc>
          <w:tcPr>
            <w:tcW w:type="dxa" w:w="1440"/>
            <w:vAlign w:val="center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40%</w:t>
            </w:r>
          </w:p>
        </w:tc>
        <w:tc>
          <w:tcPr>
            <w:tcW w:type="dxa" w:w="2880"/>
            <w:vAlign w:val="center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R$ 7.200</w:t>
            </w:r>
          </w:p>
        </w:tc>
      </w:tr>
      <w:tr>
        <w:tc>
          <w:tcPr>
            <w:tcW w:type="dxa" w:w="5040"/>
            <w:vAlign w:val="center"/>
            <w:shd w:fill="F1F5F9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M2 · Painel funcional aprovado</w:t>
            </w:r>
          </w:p>
        </w:tc>
        <w:tc>
          <w:tcPr>
            <w:tcW w:type="dxa" w:w="1440"/>
            <w:vAlign w:val="center"/>
            <w:shd w:fill="F1F5F9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30%</w:t>
            </w:r>
          </w:p>
        </w:tc>
        <w:tc>
          <w:tcPr>
            <w:tcW w:type="dxa" w:w="2880"/>
            <w:vAlign w:val="center"/>
            <w:shd w:fill="F1F5F9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R$ 5.400</w:t>
            </w:r>
          </w:p>
        </w:tc>
      </w:tr>
      <w:tr>
        <w:tc>
          <w:tcPr>
            <w:tcW w:type="dxa" w:w="5040"/>
            <w:vAlign w:val="center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M4 · MVP aceito e handoff</w:t>
            </w:r>
          </w:p>
        </w:tc>
        <w:tc>
          <w:tcPr>
            <w:tcW w:type="dxa" w:w="1440"/>
            <w:vAlign w:val="center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30%</w:t>
            </w:r>
          </w:p>
        </w:tc>
        <w:tc>
          <w:tcPr>
            <w:tcW w:type="dxa" w:w="2880"/>
            <w:vAlign w:val="center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R$ 5.400</w:t>
            </w:r>
          </w:p>
        </w:tc>
      </w:tr>
      <w:tr>
        <w:tc>
          <w:tcPr>
            <w:tcW w:type="dxa" w:w="5040"/>
            <w:vAlign w:val="center"/>
            <w:shd w:fill="F1F5F9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TOTAL DO ESCOPO-BASE</w:t>
            </w:r>
          </w:p>
        </w:tc>
        <w:tc>
          <w:tcPr>
            <w:tcW w:type="dxa" w:w="1440"/>
            <w:vAlign w:val="center"/>
            <w:shd w:fill="F1F5F9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100%</w:t>
            </w:r>
          </w:p>
        </w:tc>
        <w:tc>
          <w:tcPr>
            <w:tcW w:type="dxa" w:w="2880"/>
            <w:vAlign w:val="center"/>
            <w:shd w:fill="F1F5F9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R$ 18.000</w:t>
            </w:r>
          </w:p>
        </w:tc>
      </w:tr>
    </w:tbl>
    <w:p>
      <w:pPr>
        <w:spacing w:after="0"/>
      </w:pPr>
    </w:p>
    <w:p>
      <w:r>
        <w:t>Pagamentos por transferência bancária ou outro meio acordado, mediante documentação fiscal pertinente. Tributos, retenções e exigências de faturamento devem ser ajustados à situação real das partes antes da contratação.</w:t>
      </w:r>
    </w:p>
    <w:p>
      <w:r>
        <w:t>Os valores acima são inventados para fins didáticos; não constituem referência de preço de mercado.</w:t>
      </w:r>
    </w:p>
    <w:p>
      <w:pPr>
        <w:pStyle w:val="Heading2"/>
      </w:pPr>
      <w:r>
        <w:t>10. Mudanças de escopo (change request)</w:t>
      </w:r>
    </w:p>
    <w:p>
      <w:pPr>
        <w:pStyle w:val="ListNumber"/>
        <w:numPr>
          <w:ilvl w:val="0"/>
          <w:numId w:val="10"/>
        </w:numPr>
        <w:spacing w:after="60"/>
      </w:pPr>
      <w:r>
        <w:t>Solicitação: o contratante descreve a alteração desejada e o resultado esperado.</w:t>
      </w:r>
    </w:p>
    <w:p>
      <w:pPr>
        <w:pStyle w:val="ListNumber"/>
        <w:numPr>
          <w:ilvl w:val="0"/>
          <w:numId w:val="10"/>
        </w:numPr>
        <w:spacing w:after="60"/>
      </w:pPr>
      <w:r>
        <w:t>Análise: o contratado informa impacto estimado no escopo, no custo, no prazo e nas dependências.</w:t>
      </w:r>
    </w:p>
    <w:p>
      <w:pPr>
        <w:pStyle w:val="ListNumber"/>
        <w:numPr>
          <w:ilvl w:val="0"/>
          <w:numId w:val="10"/>
        </w:numPr>
        <w:spacing w:after="60"/>
      </w:pPr>
      <w:r>
        <w:t>Aprovação: a implementação adicional só começa mediante aceite escrito das duas partes.</w:t>
      </w:r>
    </w:p>
    <w:p>
      <w:pPr>
        <w:pStyle w:val="ListNumber"/>
        <w:numPr>
          <w:ilvl w:val="0"/>
          <w:numId w:val="10"/>
        </w:numPr>
        <w:spacing w:after="60"/>
      </w:pPr>
      <w:r>
        <w:t>Atualização: o planejamento e, quando aplicável, os marcos financeiros são revisados.</w:t>
      </w:r>
    </w:p>
    <w:p>
      <w:r>
        <w:t>Sem aprovação, permanece válido o escopo originalmente acordado. Correções de defeitos frente aos critérios de aceite não são tratadas como mudanças cobradas à parte.</w:t>
      </w:r>
    </w:p>
    <w:p>
      <w:pPr>
        <w:pStyle w:val="Heading2"/>
      </w:pPr>
      <w:r>
        <w:t>11. Serviços opcionais, mediante orçamento separado</w:t>
      </w:r>
    </w:p>
    <w:p>
      <w:pPr>
        <w:pStyle w:val="ListBullet"/>
        <w:spacing w:after="60"/>
      </w:pPr>
      <w:r>
        <w:t>Publicação em lojas de aplicativos; treinamento ampliado; identidade visual exclusiva.</w:t>
      </w:r>
    </w:p>
    <w:p>
      <w:pPr>
        <w:pStyle w:val="ListBullet"/>
        <w:spacing w:after="60"/>
      </w:pPr>
      <w:r>
        <w:t>Melhorias evolutivas, integrações adicionais e manutenção recorrente.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519"/>
      </w:tblGrid>
      <w:tr>
        <w:tc>
          <w:tcPr>
            <w:tcW w:type="dxa" w:w="9519"/>
            <w:shd w:fill="EAF0F7"/>
          </w:tcPr>
          <w:p>
            <w:pPr>
              <w:spacing w:before="100" w:after="100"/>
            </w:pPr>
            <w:r>
              <w:rPr>
                <w:rFonts w:ascii="Inter" w:hAnsi="Inter" w:eastAsia="Inter" w:cs="Inter"/>
                <w:b/>
                <w:color w:val="2666B1"/>
                <w:sz w:val="16"/>
              </w:rPr>
              <w:t xml:space="preserve">PROTEÇÃO MÚTUA  </w:t>
            </w:r>
            <w:r>
              <w:rPr>
                <w:rFonts w:ascii="Inter" w:hAnsi="Inter" w:eastAsia="Inter" w:cs="Inter"/>
                <w:sz w:val="16"/>
              </w:rPr>
              <w:t>Toda alteração deve ser transparente: o cliente sabe o que será cobrado e o desenvolvedor não executa compromissos adicionais indefinidos.</w:t>
            </w:r>
          </w:p>
        </w:tc>
      </w:tr>
    </w:tbl>
    <w:p>
      <w:pPr>
        <w:spacing w:after="0"/>
      </w:pPr>
    </w:p>
    <w:p>
      <w:r>
        <w:br w:type="page"/>
      </w:r>
    </w:p>
    <w:p>
      <w:r>
        <w:rPr>
          <w:rFonts w:ascii="Inter" w:hAnsi="Inter" w:eastAsia="Inter" w:cs="Inter"/>
          <w:b/>
          <w:color w:val="2666B1"/>
          <w:sz w:val="16"/>
        </w:rPr>
        <w:t>05 / OPERAÇÃO E PROTEÇÃO</w:t>
      </w:r>
    </w:p>
    <w:p>
      <w:pPr>
        <w:pStyle w:val="Heading1"/>
      </w:pPr>
      <w:r>
        <w:t>Dados, titularidade e suporte</w:t>
      </w:r>
    </w:p>
    <w:p>
      <w:pPr>
        <w:pBdr>
          <w:bottom w:val="single" w:sz="10" w:color="EAF0F7"/>
        </w:pBdr>
      </w:pPr>
    </w:p>
    <w:p>
      <w:pPr>
        <w:pStyle w:val="Heading2"/>
      </w:pPr>
      <w:r>
        <w:t>12. Titularidade e uso do código</w:t>
      </w:r>
    </w:p>
    <w:p>
      <w:r>
        <w:t>Após a quitação dos valores contratados, o contratante receberá os artefatos produzidos especificamente para o projeto, conforme os direitos de uso e transferência definidos no instrumento contratual definitivo. Bibliotecas de terceiros, componentes de código aberto e ferramentas preexistentes permanecem sujeitos às suas licenças e titularidades próprias.</w:t>
      </w:r>
    </w:p>
    <w:p>
      <w:r>
        <w:t>O contratado deverá indicar dependências relevantes, licenças aplicáveis e itens que não possam ser transferidos. O eventual uso do projeto em portfólio dependerá de autorização prévia por escrito.</w:t>
      </w:r>
    </w:p>
    <w:p>
      <w:pPr>
        <w:pStyle w:val="Heading2"/>
      </w:pPr>
      <w:r>
        <w:t>13. Confidencialidade e dados</w:t>
      </w:r>
    </w:p>
    <w:p>
      <w:r>
        <w:t>As partes se comprometem a preservar informações não públicas obtidas durante o projeto. O contratante permanece responsável por estabelecer as finalidades e bases aplicáveis ao tratamento de dados de seus usuários; os papéis e obrigações de cada parte, inclusive em relação à LGPD, devem ser formalizados em instrumento adequado antes de dados reais serem processados.</w:t>
      </w:r>
    </w:p>
    <w:p>
      <w:r>
        <w:t>Credenciais e segredos serão compartilhados por meios seguros; não deverão constar em documentos ou repositórios públicos.</w:t>
      </w:r>
    </w:p>
    <w:p>
      <w:pPr>
        <w:pStyle w:val="Heading2"/>
      </w:pPr>
      <w:r>
        <w:t>14. Garantia corretiva, suporte e manutenção</w:t>
      </w:r>
    </w:p>
    <w:p>
      <w:pPr>
        <w:pStyle w:val="ListBullet"/>
        <w:spacing w:after="60"/>
      </w:pPr>
      <w:r>
        <w:t>Garantia de correção: 30 dias corridos após aceite final para defeitos reproduzíveis que contrariem o escopo aceito, sem cobrança adicional.</w:t>
      </w:r>
    </w:p>
    <w:p>
      <w:pPr>
        <w:pStyle w:val="ListBullet"/>
        <w:spacing w:after="60"/>
      </w:pPr>
      <w:r>
        <w:t>Não inclui: funcionalidades novas, mudanças de regra, problemas causados por alterações de terceiros, incidentes externos ou uso fora das condições documentadas.</w:t>
      </w:r>
    </w:p>
    <w:p>
      <w:pPr>
        <w:pStyle w:val="ListBullet"/>
        <w:spacing w:after="60"/>
      </w:pPr>
      <w:r>
        <w:t>Suporte operacional, monitoramento, evolução e novos atendimentos após o período serão objeto de acordo específico.</w:t>
      </w:r>
    </w:p>
    <w:p>
      <w:pPr>
        <w:pStyle w:val="Heading2"/>
      </w:pPr>
      <w:r>
        <w:t>15. Handoff</w:t>
      </w:r>
    </w:p>
    <w:p>
      <w:r>
        <w:t>A entrega inclui repositórios e código-fonte contratados, arquivo de configuração de exemplo sem segredos, instruções de execução e implantação, inventário de serviços e registro de pendências conhecidas. A transferência de acessos deverá ser confirmada por ambas as partes.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519"/>
      </w:tblGrid>
      <w:tr>
        <w:tc>
          <w:tcPr>
            <w:tcW w:type="dxa" w:w="9519"/>
            <w:shd w:fill="EAF0F7"/>
          </w:tcPr>
          <w:p>
            <w:pPr>
              <w:spacing w:before="100" w:after="100"/>
            </w:pPr>
            <w:r>
              <w:rPr>
                <w:rFonts w:ascii="Inter" w:hAnsi="Inter" w:eastAsia="Inter" w:cs="Inter"/>
                <w:b/>
                <w:color w:val="2666B1"/>
                <w:sz w:val="16"/>
              </w:rPr>
              <w:t xml:space="preserve">NOTA EDUCATIVA  </w:t>
            </w:r>
            <w:r>
              <w:rPr>
                <w:rFonts w:ascii="Inter" w:hAnsi="Inter" w:eastAsia="Inter" w:cs="Inter"/>
                <w:sz w:val="16"/>
              </w:rPr>
              <w:t>A entrega técnica e a responsabilidade pela manutenção são coisas diferentes; explicitar essa fronteira protege o cliente e o profissional.</w:t>
            </w:r>
          </w:p>
        </w:tc>
      </w:tr>
    </w:tbl>
    <w:p>
      <w:pPr>
        <w:spacing w:after="0"/>
      </w:pPr>
    </w:p>
    <w:p>
      <w:r>
        <w:br w:type="page"/>
      </w:r>
    </w:p>
    <w:p>
      <w:r>
        <w:rPr>
          <w:rFonts w:ascii="Inter" w:hAnsi="Inter" w:eastAsia="Inter" w:cs="Inter"/>
          <w:b/>
          <w:color w:val="2666B1"/>
          <w:sz w:val="16"/>
        </w:rPr>
        <w:t>06 / GOVERNANÇA E ENCERRAMENTO</w:t>
      </w:r>
    </w:p>
    <w:p>
      <w:pPr>
        <w:pStyle w:val="Heading1"/>
      </w:pPr>
      <w:r>
        <w:t>Suspensão, rescisão e acordo</w:t>
      </w:r>
    </w:p>
    <w:p>
      <w:pPr>
        <w:pBdr>
          <w:bottom w:val="single" w:sz="10" w:color="EAF0F7"/>
        </w:pBdr>
      </w:pPr>
    </w:p>
    <w:p>
      <w:pPr>
        <w:pStyle w:val="Heading2"/>
      </w:pPr>
      <w:r>
        <w:t>16. Comunicação e registro</w:t>
      </w:r>
    </w:p>
    <w:p>
      <w:r>
        <w:t>As decisões sobre escopo, prazo, aceite, pagamentos e mudanças devem ser confirmadas por escrito, por e-mail ou ferramenta de projeto acordada. Uma reunião não substitui o registro das decisões materiais.</w:t>
      </w:r>
    </w:p>
    <w:p>
      <w:pPr>
        <w:pStyle w:val="Heading2"/>
      </w:pPr>
      <w:r>
        <w:t>17. Suspensão e encerramento antecipado</w:t>
      </w:r>
    </w:p>
    <w:p>
      <w:r>
        <w:t>Se houver impedimento relevante, inadimplemento ou indisponibilidade prolongada de insumos, a parte afetada notificará a outra e concederá prazo razoável para regularização, a ser definido no contrato. Persistindo o problema, as partes poderão negociar suspensão ou encerramento.</w:t>
      </w:r>
    </w:p>
    <w:p>
      <w:r>
        <w:t>No encerramento, será produzido um levantamento do trabalho executado, dos entregáveis existentes, dos pagamentos já realizados, dos compromissos pendentes e dos valores eventualmente devidos ou a restituir, conforme critérios contratuais previamente pactuados. Nenhuma das partes deverá reter indevidamente material ou acesso a que a outra tenha direito.</w:t>
      </w:r>
    </w:p>
    <w:p>
      <w:pPr>
        <w:pStyle w:val="Heading2"/>
      </w:pPr>
      <w:r>
        <w:t>18. Condições gerais</w:t>
      </w:r>
    </w:p>
    <w:p>
      <w:pPr>
        <w:pStyle w:val="ListBullet"/>
        <w:spacing w:after="60"/>
      </w:pPr>
      <w:r>
        <w:t>Validade desta proposta fictícia: 15 dias da emissão.</w:t>
      </w:r>
    </w:p>
    <w:p>
      <w:pPr>
        <w:pStyle w:val="ListBullet"/>
        <w:spacing w:after="60"/>
      </w:pPr>
      <w:r>
        <w:t>Início condicionado ao aceite escrito, pagamento inicial e entrega dos insumos necessários.</w:t>
      </w:r>
    </w:p>
    <w:p>
      <w:pPr>
        <w:pStyle w:val="ListBullet"/>
        <w:spacing w:after="60"/>
      </w:pPr>
      <w:r>
        <w:t>A proposta descreve premissas comerciais; cláusulas jurídicas específicas devem ser completadas em contrato apropriado.</w:t>
      </w:r>
    </w:p>
    <w:p>
      <w:pPr>
        <w:pStyle w:val="ListBullet"/>
        <w:spacing w:after="60"/>
      </w:pPr>
      <w:r>
        <w:t>Qualquer alteração deve ser formalizada e aceita por ambas as partes.</w:t>
      </w:r>
    </w:p>
    <w:p>
      <w:pPr>
        <w:pStyle w:val="Heading2"/>
      </w:pPr>
      <w:r>
        <w:t>19. Declaração de ciência e aceite</w:t>
      </w:r>
    </w:p>
    <w:p>
      <w:r>
        <w:t>As assinaturas abaixo indicam ciência das condições comerciais descritas, sujeitas à formalização contratual correspondente.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vAlign w:val="center"/>
            <w:shd w:fill="152943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b/>
                <w:color w:val="FFFFFF"/>
                <w:sz w:val="16"/>
              </w:rPr>
              <w:t>CONTRATANTE (FICTÍCIO)</w:t>
            </w:r>
          </w:p>
        </w:tc>
        <w:tc>
          <w:tcPr>
            <w:tcW w:type="dxa" w:w="4680"/>
            <w:vAlign w:val="center"/>
            <w:shd w:fill="152943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b/>
                <w:color w:val="FFFFFF"/>
                <w:sz w:val="16"/>
              </w:rPr>
              <w:t>CONTRATADO</w:t>
            </w:r>
          </w:p>
        </w:tc>
      </w:tr>
      <w:tr>
        <w:tc>
          <w:tcPr>
            <w:tcW w:type="dxa" w:w="4680"/>
            <w:vAlign w:val="center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Representante: ________________________</w:t>
            </w:r>
          </w:p>
        </w:tc>
        <w:tc>
          <w:tcPr>
            <w:tcW w:type="dxa" w:w="4680"/>
            <w:vAlign w:val="center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Wallace Ferreira</w:t>
            </w:r>
          </w:p>
        </w:tc>
      </w:tr>
      <w:tr>
        <w:tc>
          <w:tcPr>
            <w:tcW w:type="dxa" w:w="4680"/>
            <w:vAlign w:val="center"/>
            <w:shd w:fill="F1F5F9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Data: ____ / ____ / ______</w:t>
            </w:r>
          </w:p>
        </w:tc>
        <w:tc>
          <w:tcPr>
            <w:tcW w:type="dxa" w:w="4680"/>
            <w:vAlign w:val="center"/>
            <w:shd w:fill="F1F5F9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Data: ____ / ____ / ______</w:t>
            </w:r>
          </w:p>
        </w:tc>
      </w:tr>
      <w:tr>
        <w:tc>
          <w:tcPr>
            <w:tcW w:type="dxa" w:w="4680"/>
            <w:vAlign w:val="center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Assinatura: __________________________</w:t>
            </w:r>
          </w:p>
        </w:tc>
        <w:tc>
          <w:tcPr>
            <w:tcW w:type="dxa" w:w="4680"/>
            <w:vAlign w:val="center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Assinatura: __________________________</w:t>
            </w:r>
          </w:p>
        </w:tc>
      </w:tr>
    </w:tbl>
    <w:p>
      <w:pPr>
        <w:spacing w:after="0"/>
      </w:pPr>
    </w:p>
    <w:p>
      <w:r>
        <w:br w:type="page"/>
      </w:r>
    </w:p>
    <w:p>
      <w:r>
        <w:rPr>
          <w:rFonts w:ascii="Inter" w:hAnsi="Inter" w:eastAsia="Inter" w:cs="Inter"/>
          <w:b/>
          <w:color w:val="2666B1"/>
          <w:sz w:val="16"/>
        </w:rPr>
        <w:t>07 / GUIA PARA O LEITOR</w:t>
      </w:r>
    </w:p>
    <w:p>
      <w:pPr>
        <w:pStyle w:val="Heading1"/>
      </w:pPr>
      <w:r>
        <w:t>Como adaptar este modelo</w:t>
      </w:r>
    </w:p>
    <w:p>
      <w:pPr>
        <w:pBdr>
          <w:bottom w:val="single" w:sz="10" w:color="EAF0F7"/>
        </w:pBdr>
      </w:pPr>
    </w:p>
    <w:p>
      <w:r>
        <w:t>Esta página integra a edição educativa. Ao utilizar a proposta como referência, substitua os dados fictícios e valide as condições conforme o projeto, o cliente e a legislação aplicável.</w:t>
      </w:r>
    </w:p>
    <w:p>
      <w:pPr>
        <w:pStyle w:val="Heading2"/>
      </w:pPr>
      <w:r>
        <w:t>Checklist de adaptação</w:t>
      </w:r>
    </w:p>
    <w:p>
      <w:pPr>
        <w:pStyle w:val="ListBullet"/>
        <w:spacing w:after="60"/>
      </w:pPr>
      <w:r>
        <w:t>Reescreva os objetivos e o escopo de acordo com a operação real do contratante.</w:t>
      </w:r>
    </w:p>
    <w:p>
      <w:pPr>
        <w:pStyle w:val="ListBullet"/>
        <w:spacing w:after="60"/>
      </w:pPr>
      <w:r>
        <w:t>Declare explicitamente o que não será entregue e o que depende de terceiros.</w:t>
      </w:r>
    </w:p>
    <w:p>
      <w:pPr>
        <w:pStyle w:val="ListBullet"/>
        <w:spacing w:after="60"/>
      </w:pPr>
      <w:r>
        <w:t>Converta cada marco em um conjunto de entregáveis testáveis e critérios de aceite.</w:t>
      </w:r>
    </w:p>
    <w:p>
      <w:pPr>
        <w:pStyle w:val="ListBullet"/>
        <w:spacing w:after="60"/>
      </w:pPr>
      <w:r>
        <w:t>Estime esforço e risco antes de propor valor, parcelamento e prazo.</w:t>
      </w:r>
    </w:p>
    <w:p>
      <w:pPr>
        <w:pStyle w:val="ListBullet"/>
        <w:spacing w:after="60"/>
      </w:pPr>
      <w:r>
        <w:t>Combine responsáveis por conteúdos, acessos, decisões e homologação.</w:t>
      </w:r>
    </w:p>
    <w:p>
      <w:pPr>
        <w:pStyle w:val="ListBullet"/>
        <w:spacing w:after="60"/>
      </w:pPr>
      <w:r>
        <w:t>Preveja o rito para alteração de escopo e o direito de dizer não sem aprovação.</w:t>
      </w:r>
    </w:p>
    <w:p>
      <w:pPr>
        <w:pStyle w:val="ListBullet"/>
        <w:spacing w:after="60"/>
      </w:pPr>
      <w:r>
        <w:t>Detalhe licenças, segurança, privacidade e titularidade dos entregáveis.</w:t>
      </w:r>
    </w:p>
    <w:p>
      <w:pPr>
        <w:pStyle w:val="ListBullet"/>
        <w:spacing w:after="60"/>
      </w:pPr>
      <w:r>
        <w:t>Acorde garantia, suporte, handoff, suspensão e rescisão proporcionais.</w:t>
      </w:r>
    </w:p>
    <w:p>
      <w:pPr>
        <w:pStyle w:val="ListBullet"/>
        <w:spacing w:after="60"/>
      </w:pPr>
      <w:r>
        <w:t>Submeta a minuta a revisão jurídica quando houver compromissos materiais ou dados sensíveis.</w:t>
      </w:r>
    </w:p>
    <w:p>
      <w:pPr>
        <w:pStyle w:val="Heading2"/>
      </w:pPr>
      <w:r>
        <w:t>O que este exemplo procura evitar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92"/>
        <w:gridCol w:w="4968"/>
      </w:tblGrid>
      <w:tr>
        <w:tc>
          <w:tcPr>
            <w:tcW w:type="dxa" w:w="4392"/>
            <w:vAlign w:val="center"/>
            <w:shd w:fill="152943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b/>
                <w:color w:val="FFFFFF"/>
                <w:sz w:val="16"/>
              </w:rPr>
              <w:t>RISCO FREQUENTE</w:t>
            </w:r>
          </w:p>
        </w:tc>
        <w:tc>
          <w:tcPr>
            <w:tcW w:type="dxa" w:w="4968"/>
            <w:vAlign w:val="center"/>
            <w:shd w:fill="152943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b/>
                <w:color w:val="FFFFFF"/>
                <w:sz w:val="16"/>
              </w:rPr>
              <w:t>MECANISMO DE PREVENÇÃO</w:t>
            </w:r>
          </w:p>
        </w:tc>
      </w:tr>
      <w:tr>
        <w:tc>
          <w:tcPr>
            <w:tcW w:type="dxa" w:w="4392"/>
            <w:vAlign w:val="center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Preço fechado com escopo indefinido</w:t>
            </w:r>
          </w:p>
        </w:tc>
        <w:tc>
          <w:tcPr>
            <w:tcW w:type="dxa" w:w="4968"/>
            <w:vAlign w:val="center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Escopo, exclusões e processo de mudanças.</w:t>
            </w:r>
          </w:p>
        </w:tc>
      </w:tr>
      <w:tr>
        <w:tc>
          <w:tcPr>
            <w:tcW w:type="dxa" w:w="4392"/>
            <w:vAlign w:val="center"/>
            <w:shd w:fill="F1F5F9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Pagamento quase todo ao final</w:t>
            </w:r>
          </w:p>
        </w:tc>
        <w:tc>
          <w:tcPr>
            <w:tcW w:type="dxa" w:w="4968"/>
            <w:vAlign w:val="center"/>
            <w:shd w:fill="F1F5F9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Marcos financeiros vinculados a entregas verificáveis.</w:t>
            </w:r>
          </w:p>
        </w:tc>
      </w:tr>
      <w:tr>
        <w:tc>
          <w:tcPr>
            <w:tcW w:type="dxa" w:w="4392"/>
            <w:vAlign w:val="center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Atrasos por falta de dados ou decisões</w:t>
            </w:r>
          </w:p>
        </w:tc>
        <w:tc>
          <w:tcPr>
            <w:tcW w:type="dxa" w:w="4968"/>
            <w:vAlign w:val="center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Responsabilidades e revisão de prazo por dependências.</w:t>
            </w:r>
          </w:p>
        </w:tc>
      </w:tr>
      <w:tr>
        <w:tc>
          <w:tcPr>
            <w:tcW w:type="dxa" w:w="4392"/>
            <w:vAlign w:val="center"/>
            <w:shd w:fill="F1F5F9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Divergência sobre “pronto”</w:t>
            </w:r>
          </w:p>
        </w:tc>
        <w:tc>
          <w:tcPr>
            <w:tcW w:type="dxa" w:w="4968"/>
            <w:vAlign w:val="center"/>
            <w:shd w:fill="F1F5F9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Critérios e janela de homologação.</w:t>
            </w:r>
          </w:p>
        </w:tc>
      </w:tr>
      <w:tr>
        <w:tc>
          <w:tcPr>
            <w:tcW w:type="dxa" w:w="4392"/>
            <w:vAlign w:val="center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Manutenção sem fim definido</w:t>
            </w:r>
          </w:p>
        </w:tc>
        <w:tc>
          <w:tcPr>
            <w:tcW w:type="dxa" w:w="4968"/>
            <w:vAlign w:val="center"/>
          </w:tcPr>
          <w:p>
            <w:pPr>
              <w:spacing w:after="40" w:before="40"/>
            </w:pPr>
            <w:r>
              <w:rPr>
                <w:rFonts w:ascii="Inter" w:hAnsi="Inter" w:eastAsia="Inter" w:cs="Inter"/>
                <w:sz w:val="16"/>
              </w:rPr>
              <w:t>Garantia, suporte, handoff e encerramento separados.</w:t>
            </w:r>
          </w:p>
        </w:tc>
      </w:tr>
    </w:tbl>
    <w:p>
      <w:pPr>
        <w:spacing w:after="0"/>
      </w:pPr>
    </w:p>
    <w:p>
      <w:pPr>
        <w:pBdr>
          <w:bottom w:val="single" w:sz="12" w:color="2666B1"/>
        </w:pBdr>
      </w:pPr>
    </w:p>
    <w:p>
      <w:r>
        <w:rPr>
          <w:rFonts w:ascii="Inter" w:hAnsi="Inter" w:eastAsia="Inter" w:cs="Inter"/>
          <w:b/>
          <w:color w:val="152943"/>
          <w:sz w:val="18"/>
        </w:rPr>
        <w:t>WALLACE FERREIRA</w:t>
      </w:r>
    </w:p>
    <w:p>
      <w:r>
        <w:t>wallace-ferreira.dev   •   Exemplo fictício para fins de educação profissional.</w:t>
      </w:r>
    </w:p>
    <w:p>
      <w:r>
        <w:t>Este material não é aconselhamento jurídico. Verifique adequação tributária, contratual e de proteção de dados antes de utilizá-lo em uma relação real.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95" w:bottom="979" w:left="1195" w:header="461" w:footer="49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Inter" w:hAnsi="Inter" w:eastAsia="Inter" w:cs="Inter"/>
        <w:color w:val="657386"/>
        <w:sz w:val="14"/>
      </w:rPr>
      <w:t xml:space="preserve">MODELO FICTÍCIO  •  USO EDUCACIONAL     |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Inter" w:hAnsi="Inter" w:eastAsia="Inter" w:cs="Inter"/>
        <w:b/>
        <w:color w:val="657386"/>
        <w:sz w:val="14"/>
      </w:rPr>
      <w:t>WF  /  WALLACE FERREIRA  •  SOFTWARE ENGINEERING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8" w:lineRule="auto"/>
    </w:pPr>
    <w:rPr>
      <w:rFonts w:ascii="Inter" w:hAnsi="Inter" w:eastAsia="Inter" w:cs="Inter"/>
      <w:color w:val="253449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Inter" w:hAnsi="Inter" w:eastAsia="Inter" w:cs="Inter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Inter" w:hAnsi="Inter" w:eastAsia="Inter" w:cs="Inter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80"/>
      <w:outlineLvl w:val="0"/>
    </w:pPr>
    <w:rPr>
      <w:rFonts w:asciiTheme="majorHAnsi" w:eastAsiaTheme="majorEastAsia" w:hAnsiTheme="majorHAnsi" w:cstheme="majorBidi" w:ascii="Inter" w:hAnsi="Inter" w:eastAsia="Inter" w:cs="Inter"/>
      <w:b/>
      <w:bCs/>
      <w:color w:val="152943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Inter" w:hAnsi="Inter" w:eastAsia="Inter" w:cs="Inter"/>
      <w:b/>
      <w:bCs/>
      <w:color w:val="2666B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 w:ascii="Inter" w:hAnsi="Inter" w:eastAsia="Inter" w:cs="Inter"/>
      <w:b/>
      <w:bCs/>
      <w:color w:val="152943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Inter" w:hAnsi="Inter" w:eastAsia="Inter" w:cs="Inter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Inter" w:hAnsi="Inter" w:eastAsia="Inter" w:cs="Inter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Inter" w:hAnsi="Inter" w:eastAsia="Inter" w:cs="Inter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Inter" w:hAnsi="Inter" w:eastAsia="Inter" w:cs="Inter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Inter" w:hAnsi="Inter" w:eastAsia="Inter" w:cs="Inter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Inter" w:hAnsi="Inter" w:eastAsia="Inter" w:cs="Inter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Inter" w:hAnsi="Inter" w:eastAsia="Inter" w:cs="Inter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40" w:line="240" w:lineRule="auto" w:before="0"/>
      <w:contextualSpacing/>
    </w:pPr>
    <w:rPr>
      <w:rFonts w:asciiTheme="majorHAnsi" w:eastAsiaTheme="majorEastAsia" w:hAnsiTheme="majorHAnsi" w:cstheme="majorBidi" w:ascii="Inter" w:hAnsi="Inter" w:eastAsia="Inter" w:cs="Inter"/>
      <w:b/>
      <w:color w:val="152943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Inter" w:hAnsi="Inter" w:eastAsia="Inter" w:cs="Inter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Inter" w:hAnsi="Inter" w:eastAsia="Inter" w:cs="Inter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Inter" w:hAnsi="Inter" w:eastAsia="Inter" w:cs="Inter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Inter" w:hAnsi="Inter" w:eastAsia="Inter" w:cs="Inter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Inter" w:hAnsi="Inter" w:eastAsia="Inter" w:cs="Inter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Inter" w:hAnsi="Inter" w:eastAsia="Inter" w:cs="Inter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Inter" w:hAnsi="Inter" w:eastAsia="Inter" w:cs="Inter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Inter" w:hAnsi="Inter" w:eastAsia="Inter" w:cs="Inter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Inter" w:hAnsi="Inter" w:eastAsia="Inter" w:cs="Inter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Inter" w:cs="Inter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Inter" w:hAnsi="Inter" w:eastAsia="Inter" w:cs="Inter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Inter" w:hAnsi="Inter" w:eastAsia="Inter" w:cs="Inter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Inter" w:hAnsi="Inter" w:eastAsia="Inter" w:cs="Inter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Inter" w:hAnsi="Inter" w:eastAsia="Inter" w:cs="Inter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Inter" w:hAnsi="Inter" w:eastAsia="Inter" w:cs="Inter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Inter" w:hAnsi="Inter" w:eastAsia="Inter" w:cs="Inter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Inter" w:hAnsi="Inter" w:eastAsia="Inter" w:cs="Inter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Inter" w:hAnsi="Inter" w:eastAsia="Inter" w:cs="Int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Inter" w:hAnsi="Inter" w:eastAsia="Inter" w:cs="Inter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Inter" w:hAnsi="Inter" w:eastAsia="Inter" w:cs="Inter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Inter" w:hAnsi="Inter" w:eastAsia="Inter" w:cs="Inter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Inter" w:hAnsi="Inter" w:eastAsia="Inter" w:cs="Inter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proposta comercial freelance para produto digital (exemplo fictício)</dc:title>
  <dc:subject>Modelo educativo de proposta para MVP de software</dc:subject>
  <dc:creator>Wallace Ferreira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