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300"/>
      </w:pPr>
      <w:r>
        <w:rPr>
          <w:rFonts w:ascii="Inter" w:hAnsi="Inter" w:eastAsia="Inter" w:cs="Inter"/>
          <w:b/>
          <w:color w:val="152943"/>
          <w:sz w:val="74"/>
        </w:rPr>
        <w:t>WF.</w:t>
      </w:r>
    </w:p>
    <w:p>
      <w:r>
        <w:rPr>
          <w:rFonts w:ascii="Inter" w:hAnsi="Inter" w:eastAsia="Inter" w:cs="Inter"/>
          <w:b/>
          <w:color w:val="2666B1"/>
          <w:sz w:val="18"/>
        </w:rPr>
        <w:t>WALLACE FERREIRA  /  SOFTWARE ENGINEER</w:t>
      </w:r>
    </w:p>
    <w:p>
      <w:pPr>
        <w:pBdr>
          <w:bottom w:val="single" w:sz="18" w:color="2666B1"/>
        </w:pBdr>
      </w:pPr>
    </w:p>
    <w:p>
      <w:pPr>
        <w:spacing w:before="880"/>
      </w:pPr>
      <w:r>
        <w:rPr>
          <w:rFonts w:ascii="Inter" w:hAnsi="Inter" w:eastAsia="Inter" w:cs="Inter"/>
          <w:b/>
          <w:color w:val="152943"/>
          <w:sz w:val="68"/>
        </w:rPr>
        <w:t>PROPUESTA</w:t>
        <w:br/>
        <w:t>COMERCIAL</w:t>
      </w:r>
    </w:p>
    <w:p>
      <w:r>
        <w:rPr>
          <w:rFonts w:ascii="Inter" w:hAnsi="Inter" w:eastAsia="Inter" w:cs="Inter"/>
          <w:b/>
          <w:color w:val="2666B1"/>
        </w:rPr>
        <w:t>DESARROLLO DE PRODUCTO DIGITAL  •  MVP</w:t>
      </w:r>
    </w:p>
    <w:p>
      <w:r>
        <w:t>Aplicación de acompañamiento y panel administrativo para un servicio de suscripción.</w:t>
      </w:r>
    </w:p>
    <w:p>
      <w:r>
        <w:br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PREPARADO PARA</w:t>
            </w:r>
          </w:p>
        </w:tc>
        <w:tc>
          <w:tcPr>
            <w:tcW w:type="dxa" w:w="468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PREPARADO POR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BrightPath Wellness Ltd. (empresa ficticia)</w:t>
            </w:r>
          </w:p>
        </w:tc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Wallace Ferreira</w:t>
            </w:r>
          </w:p>
        </w:tc>
      </w:tr>
      <w:tr>
        <w:tc>
          <w:tcPr>
            <w:tcW w:type="dxa" w:w="468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REFERENCIA</w:t>
            </w:r>
          </w:p>
        </w:tc>
        <w:tc>
          <w:tcPr>
            <w:tcW w:type="dxa" w:w="468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FECHA / VALIDEZ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WF-EX-2026-001</w:t>
            </w:r>
          </w:p>
        </w:tc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Noviembre de 2026  /  15 días</w:t>
            </w:r>
          </w:p>
        </w:tc>
      </w:tr>
    </w:tbl>
    <w:p>
      <w:pPr>
        <w:spacing w:after="0"/>
      </w:pPr>
    </w:p>
    <w:p>
      <w:pPr>
        <w:spacing w:before="560"/>
      </w:pPr>
      <w:r>
        <w:rPr>
          <w:rFonts w:ascii="Inter" w:hAnsi="Inter" w:eastAsia="Inter" w:cs="Inter"/>
          <w:b/>
          <w:color w:val="657386"/>
          <w:sz w:val="16"/>
        </w:rPr>
        <w:t>EJEMPLO FICTICIO  •  TODOS LOS VALORES Y PLAZOS SON ILUSTRATIVOS</w:t>
      </w:r>
    </w:p>
    <w:p>
      <w:r>
        <w:t>Material educativo que acompaña el artículo sobre mi primer freelance. No es una oferta comercial vigente ni sustituye el asesoramiento jurídico.</w:t>
      </w: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01 / CONTEXTO Y ALCANCE</w:t>
      </w:r>
    </w:p>
    <w:p>
      <w:pPr>
        <w:pStyle w:val="Heading1"/>
      </w:pPr>
      <w:r>
        <w:t>Visión general de la contratación</w:t>
      </w:r>
    </w:p>
    <w:p>
      <w:pPr>
        <w:pBdr>
          <w:bottom w:val="single" w:sz="10" w:color="EAF0F7"/>
        </w:pBdr>
      </w:pPr>
    </w:p>
    <w:p>
      <w:pPr>
        <w:pStyle w:val="Heading2"/>
      </w:pPr>
      <w:r>
        <w:t>1. Objetivo del MVP</w:t>
      </w:r>
    </w:p>
    <w:p>
      <w:r>
        <w:t>Desarrollar una primera versión funcional de una plataforma digital destinada a validar un servicio de acompañamiento por suscripción. El MVP prioriza los flujos esenciales, la operación por un único administrador y la posibilidad de evoluciones futuras mediante nuevas contrataciones.</w:t>
      </w:r>
    </w:p>
    <w:p>
      <w:pPr>
        <w:pStyle w:val="Heading2"/>
      </w:pPr>
      <w:r>
        <w:t>2. Entregables incluidos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6840"/>
      </w:tblGrid>
      <w:tr>
        <w:tc>
          <w:tcPr>
            <w:tcW w:type="dxa" w:w="252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MÓDULO</w:t>
            </w:r>
          </w:p>
        </w:tc>
        <w:tc>
          <w:tcPr>
            <w:tcW w:type="dxa" w:w="684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FUNCIONALIDADES CONTRATADAS</w:t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Aplicación del usuario</w:t>
            </w:r>
          </w:p>
        </w:tc>
        <w:tc>
          <w:tcPr>
            <w:tcW w:type="dxa" w:w="68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Inicio de sesión por correo electrónico; recuperación de contraseña; consulta de programas y sesiones; contenidos en video incrustado; visualización del estado del acceso.</w:t>
            </w:r>
          </w:p>
        </w:tc>
      </w:tr>
      <w:tr>
        <w:tc>
          <w:tcPr>
            <w:tcW w:type="dxa" w:w="252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Panel administrativo web</w:t>
            </w:r>
          </w:p>
        </w:tc>
        <w:tc>
          <w:tcPr>
            <w:tcW w:type="dxa" w:w="684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Autenticación del administrador; gestión de usuarios; creación y edición de programas; asignación de programas; consulta básica de suscripciones.</w:t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Suscripción y acceso</w:t>
            </w:r>
          </w:p>
        </w:tc>
        <w:tc>
          <w:tcPr>
            <w:tcW w:type="dxa" w:w="68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Integración con 1 proveedor de pagos; lectura del estado de la suscripción; bloqueo y liberación del acceso según las reglas acordadas.</w:t>
            </w:r>
          </w:p>
        </w:tc>
      </w:tr>
      <w:tr>
        <w:tc>
          <w:tcPr>
            <w:tcW w:type="dxa" w:w="252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Backend y datos</w:t>
            </w:r>
          </w:p>
        </w:tc>
        <w:tc>
          <w:tcPr>
            <w:tcW w:type="dxa" w:w="684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API, persistencia, autenticación y reglas esenciales para soportar las funcionalidades descritas.</w:t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Entrega técnica</w:t>
            </w:r>
          </w:p>
        </w:tc>
        <w:tc>
          <w:tcPr>
            <w:tcW w:type="dxa" w:w="68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Código fuente e instrucciones básicas de configuración, despliegue y operación del MVP.</w:t>
            </w:r>
          </w:p>
        </w:tc>
      </w:tr>
    </w:tbl>
    <w:p>
      <w:pPr>
        <w:spacing w:after="0"/>
      </w:pPr>
    </w:p>
    <w:p>
      <w:pPr>
        <w:pStyle w:val="Heading2"/>
      </w:pPr>
      <w:r>
        <w:t>3. Límites de operación</w:t>
      </w:r>
    </w:p>
    <w:p>
      <w:pPr>
        <w:pStyle w:val="ListBullet"/>
        <w:spacing w:after="60"/>
      </w:pPr>
      <w:r>
        <w:t>Una única organización contratante y un único perfil de administrador en el MVP.</w:t>
      </w:r>
    </w:p>
    <w:p>
      <w:pPr>
        <w:pStyle w:val="ListBullet"/>
        <w:spacing w:after="60"/>
      </w:pPr>
      <w:r>
        <w:t>Un único proveedor de pagos y solo los flujos descritos expresamente.</w:t>
      </w:r>
    </w:p>
    <w:p>
      <w:pPr>
        <w:pStyle w:val="ListBullet"/>
        <w:spacing w:after="60"/>
      </w:pPr>
      <w:r>
        <w:t>Interfaz profesional con componentes reutilizables; identidad visual exclusiva no incluida.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EAF0F7"/>
          </w:tcPr>
          <w:p>
            <w:pPr>
              <w:spacing w:before="100" w:after="100"/>
            </w:pPr>
            <w:r>
              <w:rPr>
                <w:rFonts w:ascii="Inter" w:hAnsi="Inter" w:eastAsia="Inter" w:cs="Inter"/>
                <w:b/>
                <w:color w:val="2666B1"/>
                <w:sz w:val="16"/>
              </w:rPr>
              <w:t xml:space="preserve">NOTA EDUCATIVA  </w:t>
            </w:r>
            <w:r>
              <w:rPr>
                <w:rFonts w:ascii="Inter" w:hAnsi="Inter" w:eastAsia="Inter" w:cs="Inter"/>
                <w:sz w:val="16"/>
              </w:rPr>
              <w:t>Definir lo que se entregará, y también sus límites, evita que la expresión “una aplicación completa” tenga interpretaciones incompatibles.</w:t>
            </w:r>
          </w:p>
        </w:tc>
      </w:tr>
    </w:tbl>
    <w:p>
      <w:pPr>
        <w:spacing w:after="0"/>
      </w:pP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02 / EXPECTATIVAS Y DEPENDENCIAS</w:t>
      </w:r>
    </w:p>
    <w:p>
      <w:pPr>
        <w:pStyle w:val="Heading1"/>
      </w:pPr>
      <w:r>
        <w:t>Exclusiones y responsabilidades</w:t>
      </w:r>
    </w:p>
    <w:p>
      <w:pPr>
        <w:pBdr>
          <w:bottom w:val="single" w:sz="10" w:color="EAF0F7"/>
        </w:pBdr>
      </w:pPr>
    </w:p>
    <w:p>
      <w:pPr>
        <w:pStyle w:val="Heading2"/>
      </w:pPr>
      <w:r>
        <w:t>4. Elementos no incluidos en el precio base</w:t>
      </w:r>
    </w:p>
    <w:p>
      <w:pPr>
        <w:pStyle w:val="ListBullet"/>
        <w:spacing w:after="60"/>
      </w:pPr>
      <w:r>
        <w:t>Notificaciones push, área de comunidad, marketplace o funciones de inteligencia artificial.</w:t>
      </w:r>
    </w:p>
    <w:p>
      <w:pPr>
        <w:pStyle w:val="ListBullet"/>
        <w:spacing w:after="60"/>
      </w:pPr>
      <w:r>
        <w:t>Cupones, pruebas gratuitas, facturación avanzada, múltiples pasarelas o múltiples perfiles de administrador.</w:t>
      </w:r>
    </w:p>
    <w:p>
      <w:pPr>
        <w:pStyle w:val="ListBullet"/>
        <w:spacing w:after="60"/>
      </w:pPr>
      <w:r>
        <w:t>Identidad visual completa, diseño exclusivo en Figma y producción de textos, imágenes o videos.</w:t>
      </w:r>
    </w:p>
    <w:p>
      <w:pPr>
        <w:pStyle w:val="ListBullet"/>
        <w:spacing w:after="60"/>
      </w:pPr>
      <w:r>
        <w:t>Publicación en las tiendas de aplicaciones, migración de datos existentes e integraciones no relacionadas.</w:t>
      </w:r>
    </w:p>
    <w:p>
      <w:pPr>
        <w:pStyle w:val="ListBullet"/>
        <w:spacing w:after="60"/>
      </w:pPr>
      <w:r>
        <w:t>Alojamiento, tarifas de servicios de terceros, impuestos, tasas de publicación y mantenimiento evolutivo continuo.</w:t>
      </w:r>
    </w:p>
    <w:p>
      <w:pPr>
        <w:pStyle w:val="Heading2"/>
      </w:pPr>
      <w:r>
        <w:t>5. Responsabilidades del contratante</w:t>
      </w:r>
    </w:p>
    <w:p>
      <w:pPr>
        <w:pStyle w:val="ListBullet"/>
        <w:spacing w:after="60"/>
      </w:pPr>
      <w:r>
        <w:t>Proporcionar reglas de negocio, contenidos, marca, decisiones operativas y los materiales necesarios en un formato utilizable.</w:t>
      </w:r>
    </w:p>
    <w:p>
      <w:pPr>
        <w:pStyle w:val="ListBullet"/>
        <w:spacing w:after="60"/>
      </w:pPr>
      <w:r>
        <w:t>Crear y mantener las cuentas de pago y de servicios externos a su nombre, y asumir las tarifas correspondientes.</w:t>
      </w:r>
    </w:p>
    <w:p>
      <w:pPr>
        <w:pStyle w:val="ListBullet"/>
        <w:spacing w:after="60"/>
      </w:pPr>
      <w:r>
        <w:t>Designar a una persona autorizada para validar requisitos, aprobar entregas y consolidar solicitudes.</w:t>
      </w:r>
    </w:p>
    <w:p>
      <w:pPr>
        <w:pStyle w:val="ListBullet"/>
        <w:spacing w:after="60"/>
      </w:pPr>
      <w:r>
        <w:t>Responder a las solicitudes de validación en un plazo de 5 días hábiles, salvo ajuste documentado.</w:t>
      </w:r>
    </w:p>
    <w:p>
      <w:pPr>
        <w:pStyle w:val="Heading2"/>
      </w:pPr>
      <w:r>
        <w:t>6. Responsabilidades del contratado</w:t>
      </w:r>
    </w:p>
    <w:p>
      <w:pPr>
        <w:pStyle w:val="ListBullet"/>
        <w:spacing w:after="60"/>
      </w:pPr>
      <w:r>
        <w:t>Implementar y probar los entregables indicados en el alcance con diligencia profesional.</w:t>
      </w:r>
    </w:p>
    <w:p>
      <w:pPr>
        <w:pStyle w:val="ListBullet"/>
        <w:spacing w:after="60"/>
      </w:pPr>
      <w:r>
        <w:t>Informar de los impedimentos relevantes, registrar las decisiones y presentar el avance en los hitos acordados.</w:t>
      </w:r>
    </w:p>
    <w:p>
      <w:pPr>
        <w:pStyle w:val="ListBullet"/>
        <w:spacing w:after="60"/>
      </w:pPr>
      <w:r>
        <w:t>Tratar la información del proyecto con confidencialidad y aplicar controles técnicos proporcionales al MVP.</w:t>
      </w:r>
    </w:p>
    <w:p>
      <w:pPr>
        <w:pStyle w:val="ListBullet"/>
        <w:spacing w:after="60"/>
      </w:pPr>
      <w:r>
        <w:t>Comunicar con antelación el impacto de los cambios y no cobrar servicios adicionales sin aprobación expresa.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EAF0F7"/>
          </w:tcPr>
          <w:p>
            <w:pPr>
              <w:spacing w:before="100" w:after="100"/>
            </w:pPr>
            <w:r>
              <w:rPr>
                <w:rFonts w:ascii="Inter" w:hAnsi="Inter" w:eastAsia="Inter" w:cs="Inter"/>
                <w:b/>
                <w:color w:val="2666B1"/>
                <w:sz w:val="16"/>
              </w:rPr>
              <w:t xml:space="preserve">PROTECCIÓN MUTUA  </w:t>
            </w:r>
            <w:r>
              <w:rPr>
                <w:rFonts w:ascii="Inter" w:hAnsi="Inter" w:eastAsia="Inter" w:cs="Inter"/>
                <w:sz w:val="16"/>
              </w:rPr>
              <w:t>Los retrasos derivados de la falta de materiales o aprobaciones deben registrarse y permitir una revisión proporcional del cronograma, sin presumir automáticamente la culpa de ninguna de las partes.</w:t>
            </w:r>
          </w:p>
        </w:tc>
      </w:tr>
    </w:tbl>
    <w:p>
      <w:pPr>
        <w:spacing w:after="0"/>
      </w:pP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03 / EJECUCIÓN Y ACEPTACIÓN</w:t>
      </w:r>
    </w:p>
    <w:p>
      <w:pPr>
        <w:pStyle w:val="Heading1"/>
      </w:pPr>
      <w:r>
        <w:t>Plan, hitos y validación</w:t>
      </w:r>
    </w:p>
    <w:p>
      <w:pPr>
        <w:pBdr>
          <w:bottom w:val="single" w:sz="10" w:color="EAF0F7"/>
        </w:pBdr>
      </w:pPr>
    </w:p>
    <w:p>
      <w:pPr>
        <w:pStyle w:val="Heading2"/>
      </w:pPr>
      <w:r>
        <w:t>7. Plan indicativo de ejecución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5688"/>
        <w:gridCol w:w="1800"/>
      </w:tblGrid>
      <w:tr>
        <w:tc>
          <w:tcPr>
            <w:tcW w:type="dxa" w:w="1872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HITO</w:t>
            </w:r>
          </w:p>
        </w:tc>
        <w:tc>
          <w:tcPr>
            <w:tcW w:type="dxa" w:w="5688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ENTREGA / CONDICIÓN</w:t>
            </w:r>
          </w:p>
        </w:tc>
        <w:tc>
          <w:tcPr>
            <w:tcW w:type="dxa" w:w="180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PLAZO INDICATIVO</w:t>
            </w:r>
          </w:p>
        </w:tc>
      </w:tr>
      <w:tr>
        <w:tc>
          <w:tcPr>
            <w:tcW w:type="dxa" w:w="1872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M0 · Inicio</w:t>
            </w:r>
          </w:p>
        </w:tc>
        <w:tc>
          <w:tcPr>
            <w:tcW w:type="dxa" w:w="5688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Aprobación por escrito, pago inicial, accesos e insumos esenciales.</w:t>
            </w:r>
          </w:p>
        </w:tc>
        <w:tc>
          <w:tcPr>
            <w:tcW w:type="dxa" w:w="180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Semana 0</w:t>
            </w:r>
          </w:p>
        </w:tc>
      </w:tr>
      <w:tr>
        <w:tc>
          <w:tcPr>
            <w:tcW w:type="dxa" w:w="1872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M1 · Base</w:t>
            </w:r>
          </w:p>
        </w:tc>
        <w:tc>
          <w:tcPr>
            <w:tcW w:type="dxa" w:w="5688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Modelo de datos, autenticación y estructura básica del panel.</w:t>
            </w:r>
          </w:p>
        </w:tc>
        <w:tc>
          <w:tcPr>
            <w:tcW w:type="dxa" w:w="180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Semanas 1–3</w:t>
            </w:r>
          </w:p>
        </w:tc>
      </w:tr>
      <w:tr>
        <w:tc>
          <w:tcPr>
            <w:tcW w:type="dxa" w:w="1872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M2 · Panel funcional</w:t>
            </w:r>
          </w:p>
        </w:tc>
        <w:tc>
          <w:tcPr>
            <w:tcW w:type="dxa" w:w="5688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Gestión de usuarios, contenidos y programas con demostración.</w:t>
            </w:r>
          </w:p>
        </w:tc>
        <w:tc>
          <w:tcPr>
            <w:tcW w:type="dxa" w:w="180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Semanas 4–6</w:t>
            </w:r>
          </w:p>
        </w:tc>
      </w:tr>
      <w:tr>
        <w:tc>
          <w:tcPr>
            <w:tcW w:type="dxa" w:w="1872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M3 · MVP integrado</w:t>
            </w:r>
          </w:p>
        </w:tc>
        <w:tc>
          <w:tcPr>
            <w:tcW w:type="dxa" w:w="5688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Aplicación del usuario, integración de suscripciones y pruebas de flujos.</w:t>
            </w:r>
          </w:p>
        </w:tc>
        <w:tc>
          <w:tcPr>
            <w:tcW w:type="dxa" w:w="180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Semanas 7–10</w:t>
            </w:r>
          </w:p>
        </w:tc>
      </w:tr>
      <w:tr>
        <w:tc>
          <w:tcPr>
            <w:tcW w:type="dxa" w:w="1872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M4 · Validación</w:t>
            </w:r>
          </w:p>
        </w:tc>
        <w:tc>
          <w:tcPr>
            <w:tcW w:type="dxa" w:w="5688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Corrección de defectos detectados dentro del alcance y handoff contratado.</w:t>
            </w:r>
          </w:p>
        </w:tc>
        <w:tc>
          <w:tcPr>
            <w:tcW w:type="dxa" w:w="180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Semanas 11–12</w:t>
            </w:r>
          </w:p>
        </w:tc>
      </w:tr>
    </w:tbl>
    <w:p>
      <w:pPr>
        <w:spacing w:after="0"/>
      </w:pPr>
    </w:p>
    <w:p>
      <w:r>
        <w:t>Plazo total estimado: de 8 a 12 semanas a partir del M0, condicionado a la disponibilidad de insumos, accesos y validaciones. Las fechas se recalcularán si cambian premisas relevantes.</w:t>
      </w:r>
    </w:p>
    <w:p>
      <w:pPr>
        <w:pStyle w:val="Heading2"/>
      </w:pPr>
      <w:r>
        <w:t>8. Criterios de aceptación</w:t>
      </w:r>
    </w:p>
    <w:p>
      <w:pPr>
        <w:pStyle w:val="ListNumber"/>
        <w:spacing w:after="60"/>
      </w:pPr>
      <w:r>
        <w:t>El contratado comunica la entrega del hito y proporciona un guion o una demostración de los flujos previstos.</w:t>
      </w:r>
    </w:p>
    <w:p>
      <w:pPr>
        <w:pStyle w:val="ListNumber"/>
        <w:spacing w:after="60"/>
      </w:pPr>
      <w:r>
        <w:t>El contratante dispone de 5 días hábiles para aprobarla o señalar, por escrito, discrepancias objetivas respecto al alcance y a los criterios acordados.</w:t>
      </w:r>
    </w:p>
    <w:p>
      <w:pPr>
        <w:pStyle w:val="ListNumber"/>
        <w:spacing w:after="60"/>
      </w:pPr>
      <w:r>
        <w:t>Los defectos reproducibles que impidan los flujos acordados se corregirán y se presentarán para una nueva validación.</w:t>
      </w:r>
    </w:p>
    <w:p>
      <w:pPr>
        <w:pStyle w:val="ListNumber"/>
        <w:spacing w:after="60"/>
      </w:pPr>
      <w:r>
        <w:t>Las solicitudes de nuevas funcionalidades, preferencias no acordadas o cambios en las reglas de negocio seguirán el procedimiento de cambios de la sección 10.</w:t>
      </w:r>
    </w:p>
    <w:p>
      <w:r>
        <w:t>La falta de respuesta en el plazo no sustituye automáticamente la aceptación formal; las partes registrarán el pendiente y negociarán la continuidad y los posibles ajustes de plazo.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EAF0F7"/>
          </w:tcPr>
          <w:p>
            <w:pPr>
              <w:spacing w:before="100" w:after="100"/>
            </w:pPr>
            <w:r>
              <w:rPr>
                <w:rFonts w:ascii="Inter" w:hAnsi="Inter" w:eastAsia="Inter" w:cs="Inter"/>
                <w:b/>
                <w:color w:val="2666B1"/>
                <w:sz w:val="16"/>
              </w:rPr>
              <w:t xml:space="preserve">NOTA EDUCATIVA  </w:t>
            </w:r>
            <w:r>
              <w:rPr>
                <w:rFonts w:ascii="Inter" w:hAnsi="Inter" w:eastAsia="Inter" w:cs="Inter"/>
                <w:sz w:val="16"/>
              </w:rPr>
              <w:t>Los criterios de aceptación describen resultados verificables, no solo la percepción subjetiva de que el software está “listo”.</w:t>
            </w:r>
          </w:p>
        </w:tc>
      </w:tr>
    </w:tbl>
    <w:p>
      <w:pPr>
        <w:spacing w:after="0"/>
      </w:pP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04 / VALORES Y CAMBIOS</w:t>
      </w:r>
    </w:p>
    <w:p>
      <w:pPr>
        <w:pStyle w:val="Heading1"/>
      </w:pPr>
      <w:r>
        <w:t>Inversión y gestión de cambios</w:t>
      </w:r>
    </w:p>
    <w:p>
      <w:pPr>
        <w:pBdr>
          <w:bottom w:val="single" w:sz="10" w:color="EAF0F7"/>
        </w:pBdr>
      </w:pPr>
    </w:p>
    <w:p>
      <w:pPr>
        <w:pStyle w:val="Heading2"/>
      </w:pPr>
      <w:r>
        <w:t>9. Inversión ficticia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1440"/>
        <w:gridCol w:w="2880"/>
      </w:tblGrid>
      <w:tr>
        <w:tc>
          <w:tcPr>
            <w:tcW w:type="dxa" w:w="504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ETAPA</w:t>
            </w:r>
          </w:p>
        </w:tc>
        <w:tc>
          <w:tcPr>
            <w:tcW w:type="dxa" w:w="144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CUOTA</w:t>
            </w:r>
          </w:p>
        </w:tc>
        <w:tc>
          <w:tcPr>
            <w:tcW w:type="dxa" w:w="288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VALOR ILUSTRATIVO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M0 · Reserva e inicio</w:t>
            </w:r>
          </w:p>
        </w:tc>
        <w:tc>
          <w:tcPr>
            <w:tcW w:type="dxa" w:w="14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40%</w:t>
            </w:r>
          </w:p>
        </w:tc>
        <w:tc>
          <w:tcPr>
            <w:tcW w:type="dxa" w:w="28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USD 1.440</w:t>
            </w:r>
          </w:p>
        </w:tc>
      </w:tr>
      <w:tr>
        <w:tc>
          <w:tcPr>
            <w:tcW w:type="dxa" w:w="504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M2 · Panel funcional aprobado</w:t>
            </w:r>
          </w:p>
        </w:tc>
        <w:tc>
          <w:tcPr>
            <w:tcW w:type="dxa" w:w="144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30%</w:t>
            </w:r>
          </w:p>
        </w:tc>
        <w:tc>
          <w:tcPr>
            <w:tcW w:type="dxa" w:w="288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USD 1.080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M4 · MVP aceptado y handoff</w:t>
            </w:r>
          </w:p>
        </w:tc>
        <w:tc>
          <w:tcPr>
            <w:tcW w:type="dxa" w:w="14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30%</w:t>
            </w:r>
          </w:p>
        </w:tc>
        <w:tc>
          <w:tcPr>
            <w:tcW w:type="dxa" w:w="28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USD 1.080</w:t>
            </w:r>
          </w:p>
        </w:tc>
      </w:tr>
      <w:tr>
        <w:tc>
          <w:tcPr>
            <w:tcW w:type="dxa" w:w="504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TOTAL DEL ALCANCE BASE</w:t>
            </w:r>
          </w:p>
        </w:tc>
        <w:tc>
          <w:tcPr>
            <w:tcW w:type="dxa" w:w="144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100%</w:t>
            </w:r>
          </w:p>
        </w:tc>
        <w:tc>
          <w:tcPr>
            <w:tcW w:type="dxa" w:w="288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USD 3.600</w:t>
            </w:r>
          </w:p>
        </w:tc>
      </w:tr>
    </w:tbl>
    <w:p>
      <w:pPr>
        <w:spacing w:after="0"/>
      </w:pPr>
    </w:p>
    <w:p>
      <w:r>
        <w:t>Pagos por transferencia bancaria u otro medio acordado, con la documentación fiscal correspondiente. Los impuestos, retenciones y requisitos de facturación deben ajustarse a la situación real de las partes antes de la contratación.</w:t>
      </w:r>
    </w:p>
    <w:p>
      <w:r>
        <w:t>Los valores anteriores son inventados con fines didácticos y no constituyen una referencia de precio de mercado.</w:t>
      </w:r>
    </w:p>
    <w:p>
      <w:pPr>
        <w:pStyle w:val="Heading2"/>
      </w:pPr>
      <w:r>
        <w:t>10. Cambios de alcance (change request)</w:t>
      </w:r>
    </w:p>
    <w:p>
      <w:pPr>
        <w:pStyle w:val="ListNumber"/>
        <w:numPr>
          <w:ilvl w:val="0"/>
          <w:numId w:val="10"/>
        </w:numPr>
        <w:spacing w:after="60"/>
      </w:pPr>
      <w:r>
        <w:t>Solicitud: el contratante describe el cambio deseado y el resultado esperado.</w:t>
      </w:r>
    </w:p>
    <w:p>
      <w:pPr>
        <w:pStyle w:val="ListNumber"/>
        <w:numPr>
          <w:ilvl w:val="0"/>
          <w:numId w:val="10"/>
        </w:numPr>
        <w:spacing w:after="60"/>
      </w:pPr>
      <w:r>
        <w:t>Análisis: el contratado informa el impacto estimado en el alcance, el costo, el plazo y las dependencias.</w:t>
      </w:r>
    </w:p>
    <w:p>
      <w:pPr>
        <w:pStyle w:val="ListNumber"/>
        <w:numPr>
          <w:ilvl w:val="0"/>
          <w:numId w:val="10"/>
        </w:numPr>
        <w:spacing w:after="60"/>
      </w:pPr>
      <w:r>
        <w:t>Aprobación: la implementación adicional solo comienza tras la aceptación por escrito de ambas partes.</w:t>
      </w:r>
    </w:p>
    <w:p>
      <w:pPr>
        <w:pStyle w:val="ListNumber"/>
        <w:numPr>
          <w:ilvl w:val="0"/>
          <w:numId w:val="10"/>
        </w:numPr>
        <w:spacing w:after="60"/>
      </w:pPr>
      <w:r>
        <w:t>Actualización: se revisan la planificación y, cuando corresponda, los hitos de pago.</w:t>
      </w:r>
    </w:p>
    <w:p>
      <w:r>
        <w:t>Sin aprobación, se mantiene el alcance acordado originalmente. Las correcciones de defectos frente a los criterios de aceptación no se tratan como cambios cobrados aparte.</w:t>
      </w:r>
    </w:p>
    <w:p>
      <w:pPr>
        <w:pStyle w:val="Heading2"/>
      </w:pPr>
      <w:r>
        <w:t>11. Servicios opcionales, con presupuesto aparte</w:t>
      </w:r>
    </w:p>
    <w:p>
      <w:pPr>
        <w:pStyle w:val="ListBullet"/>
        <w:spacing w:after="60"/>
      </w:pPr>
      <w:r>
        <w:t>Publicación en tiendas de aplicaciones; formación ampliada; identidad visual exclusiva.</w:t>
      </w:r>
    </w:p>
    <w:p>
      <w:pPr>
        <w:pStyle w:val="ListBullet"/>
        <w:spacing w:after="60"/>
      </w:pPr>
      <w:r>
        <w:t>Mejoras evolutivas, integraciones adicionales y mantenimiento recurrente.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EAF0F7"/>
          </w:tcPr>
          <w:p>
            <w:pPr>
              <w:spacing w:before="100" w:after="100"/>
            </w:pPr>
            <w:r>
              <w:rPr>
                <w:rFonts w:ascii="Inter" w:hAnsi="Inter" w:eastAsia="Inter" w:cs="Inter"/>
                <w:b/>
                <w:color w:val="2666B1"/>
                <w:sz w:val="16"/>
              </w:rPr>
              <w:t xml:space="preserve">PROTECCIÓN MUTUA  </w:t>
            </w:r>
            <w:r>
              <w:rPr>
                <w:rFonts w:ascii="Inter" w:hAnsi="Inter" w:eastAsia="Inter" w:cs="Inter"/>
                <w:sz w:val="16"/>
              </w:rPr>
              <w:t>Todo cambio debe ser transparente: el cliente sabe lo que se le cobrará y el desarrollador no asume compromisos adicionales indefinidos.</w:t>
            </w:r>
          </w:p>
        </w:tc>
      </w:tr>
    </w:tbl>
    <w:p>
      <w:pPr>
        <w:spacing w:after="0"/>
      </w:pP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05 / OPERACIÓN Y PROTECCIÓN</w:t>
      </w:r>
    </w:p>
    <w:p>
      <w:pPr>
        <w:pStyle w:val="Heading1"/>
      </w:pPr>
      <w:r>
        <w:t>Datos, titularidad y soporte</w:t>
      </w:r>
    </w:p>
    <w:p>
      <w:pPr>
        <w:pBdr>
          <w:bottom w:val="single" w:sz="10" w:color="EAF0F7"/>
        </w:pBdr>
      </w:pPr>
    </w:p>
    <w:p>
      <w:pPr>
        <w:pStyle w:val="Heading2"/>
      </w:pPr>
      <w:r>
        <w:t>12. Titularidad y uso del código</w:t>
      </w:r>
    </w:p>
    <w:p>
      <w:r>
        <w:t>Tras el pago total de los valores contratados, el contratante recibirá los artefactos producidos específicamente para el proyecto, según los derechos de uso y transferencia definidos en el contrato definitivo. Las bibliotecas de terceros, los componentes de código abierto y las herramientas preexistentes siguen sujetos a sus propias licencias y titularidades.</w:t>
      </w:r>
    </w:p>
    <w:p>
      <w:r>
        <w:t>El contratado deberá indicar las dependencias relevantes, las licencias aplicables y los elementos que no puedan transferirse. El eventual uso del proyecto en un portafolio requerirá autorización previa por escrito.</w:t>
      </w:r>
    </w:p>
    <w:p>
      <w:pPr>
        <w:pStyle w:val="Heading2"/>
      </w:pPr>
      <w:r>
        <w:t>13. Confidencialidad y datos</w:t>
      </w:r>
    </w:p>
    <w:p>
      <w:r>
        <w:t>Las partes se comprometen a preservar la información no pública obtenida durante el proyecto. El contratante sigue siendo responsable de establecer las finalidades y bases legales del tratamiento de los datos de sus usuarios; los roles y obligaciones de cada parte, incluso en relación con la ley de protección de datos aplicable (como la LGPD en Brasil o el RGPD en la Unión Europea), deben formalizarse en un instrumento adecuado antes de procesar datos reales.</w:t>
      </w:r>
    </w:p>
    <w:p>
      <w:r>
        <w:t>Las credenciales y los secretos se compartirán por medios seguros y no deberán figurar en documentos ni repositorios públicos.</w:t>
      </w:r>
    </w:p>
    <w:p>
      <w:pPr>
        <w:pStyle w:val="Heading2"/>
      </w:pPr>
      <w:r>
        <w:t>14. Garantía correctiva, soporte y mantenimiento</w:t>
      </w:r>
    </w:p>
    <w:p>
      <w:pPr>
        <w:pStyle w:val="ListBullet"/>
        <w:spacing w:after="60"/>
      </w:pPr>
      <w:r>
        <w:t>Garantía de corrección: 30 días naturales tras la aceptación final para defectos reproducibles que contradigan el alcance aceptado, sin costo adicional.</w:t>
      </w:r>
    </w:p>
    <w:p>
      <w:pPr>
        <w:pStyle w:val="ListBullet"/>
        <w:spacing w:after="60"/>
      </w:pPr>
      <w:r>
        <w:t>No incluye: nuevas funcionalidades, cambios de reglas, problemas causados por cambios de terceros, incidentes externos ni uso fuera de las condiciones documentadas.</w:t>
      </w:r>
    </w:p>
    <w:p>
      <w:pPr>
        <w:pStyle w:val="ListBullet"/>
        <w:spacing w:after="60"/>
      </w:pPr>
      <w:r>
        <w:t>El soporte operativo, la monitorización, la evolución y las nuevas solicitudes después de ese período serán objeto de un acuerdo específico.</w:t>
      </w:r>
    </w:p>
    <w:p>
      <w:pPr>
        <w:pStyle w:val="Heading2"/>
      </w:pPr>
      <w:r>
        <w:t>15. Handoff</w:t>
      </w:r>
    </w:p>
    <w:p>
      <w:r>
        <w:t>La entrega incluye los repositorios y el código fuente contratados, un archivo de configuración de ejemplo sin secretos, instrucciones de ejecución y despliegue, un inventario de servicios y un registro de pendientes conocidos. La transferencia de accesos deberá ser confirmada por ambas partes.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EAF0F7"/>
          </w:tcPr>
          <w:p>
            <w:pPr>
              <w:spacing w:before="100" w:after="100"/>
            </w:pPr>
            <w:r>
              <w:rPr>
                <w:rFonts w:ascii="Inter" w:hAnsi="Inter" w:eastAsia="Inter" w:cs="Inter"/>
                <w:b/>
                <w:color w:val="2666B1"/>
                <w:sz w:val="16"/>
              </w:rPr>
              <w:t xml:space="preserve">NOTA EDUCATIVA  </w:t>
            </w:r>
            <w:r>
              <w:rPr>
                <w:rFonts w:ascii="Inter" w:hAnsi="Inter" w:eastAsia="Inter" w:cs="Inter"/>
                <w:sz w:val="16"/>
              </w:rPr>
              <w:t>La entrega técnica y la responsabilidad del mantenimiento son cosas distintas; explicitar esa frontera protege al cliente y al profesional.</w:t>
            </w:r>
          </w:p>
        </w:tc>
      </w:tr>
    </w:tbl>
    <w:p>
      <w:pPr>
        <w:spacing w:after="0"/>
      </w:pP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06 / GOBERNANZA Y CIERRE</w:t>
      </w:r>
    </w:p>
    <w:p>
      <w:pPr>
        <w:pStyle w:val="Heading1"/>
      </w:pPr>
      <w:r>
        <w:t>Suspensión, rescisión y acuerdo</w:t>
      </w:r>
    </w:p>
    <w:p>
      <w:pPr>
        <w:pBdr>
          <w:bottom w:val="single" w:sz="10" w:color="EAF0F7"/>
        </w:pBdr>
      </w:pPr>
    </w:p>
    <w:p>
      <w:pPr>
        <w:pStyle w:val="Heading2"/>
      </w:pPr>
      <w:r>
        <w:t>16. Comunicación y registro</w:t>
      </w:r>
    </w:p>
    <w:p>
      <w:r>
        <w:t>Las decisiones sobre alcance, plazo, aceptación, pagos y cambios deben confirmarse por escrito, por correo electrónico o en la herramienta de proyecto acordada. Una reunión no sustituye el registro de las decisiones relevantes.</w:t>
      </w:r>
    </w:p>
    <w:p>
      <w:pPr>
        <w:pStyle w:val="Heading2"/>
      </w:pPr>
      <w:r>
        <w:t>17. Suspensión y terminación anticipada</w:t>
      </w:r>
    </w:p>
    <w:p>
      <w:r>
        <w:t>Si hay un impedimento relevante, impago o falta prolongada de insumos, la parte afectada notificará a la otra y le concederá un plazo razonable para regularizar la situación, que se definirá en el contrato. Si el problema persiste, las partes podrán negociar la suspensión o la terminación.</w:t>
      </w:r>
    </w:p>
    <w:p>
      <w:r>
        <w:t>En la terminación, se elaborará un balance del trabajo realizado, los entregables existentes, los pagos ya efectuados, los compromisos pendientes y los importes que se deban o haya que reembolsar, según criterios contractuales pactados previamente. Ninguna de las partes deberá retener indebidamente material o accesos a los que la otra tenga derecho.</w:t>
      </w:r>
    </w:p>
    <w:p>
      <w:pPr>
        <w:pStyle w:val="Heading2"/>
      </w:pPr>
      <w:r>
        <w:t>18. Condiciones generales</w:t>
      </w:r>
    </w:p>
    <w:p>
      <w:pPr>
        <w:pStyle w:val="ListBullet"/>
        <w:spacing w:after="60"/>
      </w:pPr>
      <w:r>
        <w:t>Validez de esta propuesta ficticia: 15 días desde su emisión.</w:t>
      </w:r>
    </w:p>
    <w:p>
      <w:pPr>
        <w:pStyle w:val="ListBullet"/>
        <w:spacing w:after="60"/>
      </w:pPr>
      <w:r>
        <w:t>Inicio condicionado a la aceptación por escrito, al pago inicial y a la entrega de los insumos necesarios.</w:t>
      </w:r>
    </w:p>
    <w:p>
      <w:pPr>
        <w:pStyle w:val="ListBullet"/>
        <w:spacing w:after="60"/>
      </w:pPr>
      <w:r>
        <w:t>La propuesta describe premisas comerciales; las cláusulas jurídicas específicas deben completarse en un contrato apropiado.</w:t>
      </w:r>
    </w:p>
    <w:p>
      <w:pPr>
        <w:pStyle w:val="ListBullet"/>
        <w:spacing w:after="60"/>
      </w:pPr>
      <w:r>
        <w:t>Cualquier cambio debe formalizarse y ser aceptado por ambas partes.</w:t>
      </w:r>
    </w:p>
    <w:p>
      <w:pPr>
        <w:pStyle w:val="Heading2"/>
      </w:pPr>
      <w:r>
        <w:t>19. Declaración de conocimiento y aceptación</w:t>
      </w:r>
    </w:p>
    <w:p>
      <w:r>
        <w:t>Las firmas siguientes indican el conocimiento de las condiciones comerciales descritas, sujetas a la formalización contractual correspondiente.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CONTRATANTE (FICTICIO)</w:t>
            </w:r>
          </w:p>
        </w:tc>
        <w:tc>
          <w:tcPr>
            <w:tcW w:type="dxa" w:w="468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CONTRATADO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Representante: ________________________</w:t>
            </w:r>
          </w:p>
        </w:tc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Wallace Ferreira</w:t>
            </w:r>
          </w:p>
        </w:tc>
      </w:tr>
      <w:tr>
        <w:tc>
          <w:tcPr>
            <w:tcW w:type="dxa" w:w="468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Fecha: ____ / ____ / ______</w:t>
            </w:r>
          </w:p>
        </w:tc>
        <w:tc>
          <w:tcPr>
            <w:tcW w:type="dxa" w:w="468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Fecha: ____ / ____ / ______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Firma: __________________________</w:t>
            </w:r>
          </w:p>
        </w:tc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Firma: __________________________</w:t>
            </w:r>
          </w:p>
        </w:tc>
      </w:tr>
    </w:tbl>
    <w:p>
      <w:pPr>
        <w:spacing w:after="0"/>
      </w:pP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07 / GUÍA PARA EL LECTOR</w:t>
      </w:r>
    </w:p>
    <w:p>
      <w:pPr>
        <w:pStyle w:val="Heading1"/>
      </w:pPr>
      <w:r>
        <w:t>Cómo adaptar este modelo</w:t>
      </w:r>
    </w:p>
    <w:p>
      <w:pPr>
        <w:pBdr>
          <w:bottom w:val="single" w:sz="10" w:color="EAF0F7"/>
        </w:pBdr>
      </w:pPr>
    </w:p>
    <w:p>
      <w:r>
        <w:t>Esta página forma parte de la edición educativa. Al usar la propuesta como referencia, sustituye los datos ficticios y valida las condiciones según el proyecto, el cliente y la legislación aplicable.</w:t>
      </w:r>
    </w:p>
    <w:p>
      <w:pPr>
        <w:pStyle w:val="Heading2"/>
      </w:pPr>
      <w:r>
        <w:t>Lista de adaptación</w:t>
      </w:r>
    </w:p>
    <w:p>
      <w:pPr>
        <w:pStyle w:val="ListBullet"/>
        <w:spacing w:after="60"/>
      </w:pPr>
      <w:r>
        <w:t>Reescribe los objetivos y el alcance según la operación real del contratante.</w:t>
      </w:r>
    </w:p>
    <w:p>
      <w:pPr>
        <w:pStyle w:val="ListBullet"/>
        <w:spacing w:after="60"/>
      </w:pPr>
      <w:r>
        <w:t>Declara explícitamente lo que no se entregará y lo que depende de terceros.</w:t>
      </w:r>
    </w:p>
    <w:p>
      <w:pPr>
        <w:pStyle w:val="ListBullet"/>
        <w:spacing w:after="60"/>
      </w:pPr>
      <w:r>
        <w:t>Convierte cada hito en un conjunto de entregables comprobables y criterios de aceptación.</w:t>
      </w:r>
    </w:p>
    <w:p>
      <w:pPr>
        <w:pStyle w:val="ListBullet"/>
        <w:spacing w:after="60"/>
      </w:pPr>
      <w:r>
        <w:t>Estima el esfuerzo y el riesgo antes de proponer valor, forma de pago y plazo.</w:t>
      </w:r>
    </w:p>
    <w:p>
      <w:pPr>
        <w:pStyle w:val="ListBullet"/>
        <w:spacing w:after="60"/>
      </w:pPr>
      <w:r>
        <w:t>Acuerda quién es responsable de los contenidos, los accesos, las decisiones y la validación.</w:t>
      </w:r>
    </w:p>
    <w:p>
      <w:pPr>
        <w:pStyle w:val="ListBullet"/>
        <w:spacing w:after="60"/>
      </w:pPr>
      <w:r>
        <w:t>Prevé el procedimiento para cambios de alcance y el derecho a decir no sin aprobación.</w:t>
      </w:r>
    </w:p>
    <w:p>
      <w:pPr>
        <w:pStyle w:val="ListBullet"/>
        <w:spacing w:after="60"/>
      </w:pPr>
      <w:r>
        <w:t>Detalla las licencias, la seguridad, la privacidad y la titularidad de los entregables.</w:t>
      </w:r>
    </w:p>
    <w:p>
      <w:pPr>
        <w:pStyle w:val="ListBullet"/>
        <w:spacing w:after="60"/>
      </w:pPr>
      <w:r>
        <w:t>Acuerda una garantía, un soporte, un handoff, una suspensión y una rescisión proporcionales.</w:t>
      </w:r>
    </w:p>
    <w:p>
      <w:pPr>
        <w:pStyle w:val="ListBullet"/>
        <w:spacing w:after="60"/>
      </w:pPr>
      <w:r>
        <w:t>Somete el borrador a revisión jurídica cuando haya compromisos relevantes o datos sensibles.</w:t>
      </w:r>
    </w:p>
    <w:p>
      <w:pPr>
        <w:pStyle w:val="Heading2"/>
      </w:pPr>
      <w:r>
        <w:t>Lo que este ejemplo busca evitar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92"/>
        <w:gridCol w:w="4968"/>
      </w:tblGrid>
      <w:tr>
        <w:tc>
          <w:tcPr>
            <w:tcW w:type="dxa" w:w="4392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RIESGO FRECUENTE</w:t>
            </w:r>
          </w:p>
        </w:tc>
        <w:tc>
          <w:tcPr>
            <w:tcW w:type="dxa" w:w="4968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MECANISMO DE PREVENCIÓN</w:t>
            </w:r>
          </w:p>
        </w:tc>
      </w:tr>
      <w:tr>
        <w:tc>
          <w:tcPr>
            <w:tcW w:type="dxa" w:w="4392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Precio cerrado con alcance indefinido</w:t>
            </w:r>
          </w:p>
        </w:tc>
        <w:tc>
          <w:tcPr>
            <w:tcW w:type="dxa" w:w="4968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Alcance, exclusiones y proceso de cambios.</w:t>
            </w:r>
          </w:p>
        </w:tc>
      </w:tr>
      <w:tr>
        <w:tc>
          <w:tcPr>
            <w:tcW w:type="dxa" w:w="4392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Casi todo el pago al final</w:t>
            </w:r>
          </w:p>
        </w:tc>
        <w:tc>
          <w:tcPr>
            <w:tcW w:type="dxa" w:w="4968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Hitos de pago vinculados a entregas verificables.</w:t>
            </w:r>
          </w:p>
        </w:tc>
      </w:tr>
      <w:tr>
        <w:tc>
          <w:tcPr>
            <w:tcW w:type="dxa" w:w="4392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Retrasos por falta de datos o decisiones</w:t>
            </w:r>
          </w:p>
        </w:tc>
        <w:tc>
          <w:tcPr>
            <w:tcW w:type="dxa" w:w="4968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Responsabilidades y revisión del plazo según las dependencias.</w:t>
            </w:r>
          </w:p>
        </w:tc>
      </w:tr>
      <w:tr>
        <w:tc>
          <w:tcPr>
            <w:tcW w:type="dxa" w:w="4392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Desacuerdo sobre qué es “listo”</w:t>
            </w:r>
          </w:p>
        </w:tc>
        <w:tc>
          <w:tcPr>
            <w:tcW w:type="dxa" w:w="4968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Criterios y ventana de validación.</w:t>
            </w:r>
          </w:p>
        </w:tc>
      </w:tr>
      <w:tr>
        <w:tc>
          <w:tcPr>
            <w:tcW w:type="dxa" w:w="4392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Mantenimiento sin final definido</w:t>
            </w:r>
          </w:p>
        </w:tc>
        <w:tc>
          <w:tcPr>
            <w:tcW w:type="dxa" w:w="4968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Garantía, soporte, handoff y cierre por separado.</w:t>
            </w:r>
          </w:p>
        </w:tc>
      </w:tr>
    </w:tbl>
    <w:p>
      <w:pPr>
        <w:spacing w:after="0"/>
      </w:pPr>
    </w:p>
    <w:p>
      <w:pPr>
        <w:pBdr>
          <w:bottom w:val="single" w:sz="12" w:color="2666B1"/>
        </w:pBdr>
      </w:pPr>
    </w:p>
    <w:p>
      <w:r>
        <w:rPr>
          <w:rFonts w:ascii="Inter" w:hAnsi="Inter" w:eastAsia="Inter" w:cs="Inter"/>
          <w:b/>
          <w:color w:val="152943"/>
          <w:sz w:val="18"/>
        </w:rPr>
        <w:t>WALLACE FERREIRA</w:t>
      </w:r>
    </w:p>
    <w:p>
      <w:r>
        <w:t>wallace-ferreira.dev   •   Ejemplo ficticio con fines de formación profesional.</w:t>
      </w:r>
    </w:p>
    <w:p>
      <w:r>
        <w:t>Este material no es asesoramiento jurídico. Verifica la adecuación fiscal, contractual y de protección de datos antes de usarlo en una relación real.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9" w:h="16834"/>
      <w:pgMar w:top="1123" w:right="1195" w:bottom="979" w:left="1195" w:header="461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Inter" w:hAnsi="Inter" w:eastAsia="Inter" w:cs="Inter"/>
        <w:color w:val="657386"/>
        <w:sz w:val="14"/>
      </w:rPr>
      <w:t xml:space="preserve">MODELO FICTICIO  •  USO EDUCATIVO     |  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Inter" w:hAnsi="Inter" w:eastAsia="Inter" w:cs="Inter"/>
        <w:b/>
        <w:color w:val="657386"/>
        <w:sz w:val="14"/>
      </w:rPr>
      <w:t>WF  /  WALLACE FERREIRA  •  SOFTWARE ENGINEERING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8" w:lineRule="auto"/>
    </w:pPr>
    <w:rPr>
      <w:rFonts w:ascii="Inter" w:hAnsi="Inter" w:eastAsia="Inter" w:cs="Inter"/>
      <w:color w:val="253449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Inter" w:hAnsi="Inter" w:eastAsia="Inter" w:cs="Inte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Inter" w:hAnsi="Inter" w:eastAsia="Inter" w:cs="Inte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 w:ascii="Inter" w:hAnsi="Inter" w:eastAsia="Inter" w:cs="Inter"/>
      <w:b/>
      <w:bCs/>
      <w:color w:val="15294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Inter" w:hAnsi="Inter" w:eastAsia="Inter" w:cs="Inter"/>
      <w:b/>
      <w:bCs/>
      <w:color w:val="2666B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Inter" w:hAnsi="Inter" w:eastAsia="Inter" w:cs="Inter"/>
      <w:b/>
      <w:bCs/>
      <w:color w:val="152943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Inter" w:hAnsi="Inter" w:eastAsia="Inter" w:cs="Inter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Inter" w:hAnsi="Inter" w:eastAsia="Inter" w:cs="Inter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Inter" w:hAnsi="Inter" w:eastAsia="Inter" w:cs="Inter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Inter" w:hAnsi="Inter" w:eastAsia="Inter" w:cs="Inter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Inter" w:hAnsi="Inter" w:eastAsia="Inter" w:cs="Inter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Inter" w:hAnsi="Inter" w:eastAsia="Inter" w:cs="Inter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Inter" w:hAnsi="Inter" w:eastAsia="Inter" w:cs="Inter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Inter" w:hAnsi="Inter" w:eastAsia="Inter" w:cs="Inter"/>
      <w:b/>
      <w:color w:val="152943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Inter" w:hAnsi="Inter" w:eastAsia="Inter" w:cs="Inter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Inter" w:hAnsi="Inter" w:eastAsia="Inter" w:cs="Inter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Inter" w:hAnsi="Inter" w:eastAsia="Inter" w:cs="Inter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Inter" w:hAnsi="Inter" w:eastAsia="Inter" w:cs="Inter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Inter" w:hAnsi="Inter" w:eastAsia="Inter" w:cs="Inter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Inter" w:hAnsi="Inter" w:eastAsia="Inter" w:cs="Inter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Inter" w:hAnsi="Inter" w:eastAsia="Inter" w:cs="Inter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Inter" w:hAnsi="Inter" w:eastAsia="Inter" w:cs="Inter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Inter" w:hAnsi="Inter" w:eastAsia="Inter" w:cs="Inte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Inter" w:cs="Inter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Inter" w:hAnsi="Inter" w:eastAsia="Inter" w:cs="Inter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Inter" w:hAnsi="Inter" w:eastAsia="Inter" w:cs="Inter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Inter" w:cs="Inter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Inter" w:hAnsi="Inter" w:eastAsia="Inter" w:cs="Inter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Inter" w:hAnsi="Inter" w:eastAsia="Inter" w:cs="Inter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Inter" w:hAnsi="Inter" w:eastAsia="Inter" w:cs="Inter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Inter" w:hAnsi="Inter" w:eastAsia="Inter" w:cs="Inter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Inter" w:hAnsi="Inter" w:eastAsia="Inter" w:cs="Int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Inter" w:hAnsi="Inter" w:eastAsia="Inter" w:cs="Inter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nter" w:hAnsi="Inter" w:eastAsia="Inter" w:cs="Inter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Inter" w:hAnsi="Inter" w:eastAsia="Inter" w:cs="Inter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Inter" w:hAnsi="Inter" w:eastAsia="Inter" w:cs="Inter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propuesta comercial freelance para un producto digital (ejemplo ficticio)</dc:title>
  <dc:subject>Modelo educativo de proposta para MVP de software</dc:subject>
  <dc:creator>Wallace Ferreira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